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C6" w:rsidRPr="00DB3CB8" w:rsidRDefault="005A74C6" w:rsidP="005A74C6">
      <w:pPr>
        <w:spacing w:line="360" w:lineRule="auto"/>
        <w:jc w:val="both"/>
        <w:rPr>
          <w:rFonts w:ascii="Garamond" w:hAnsi="Garamond"/>
          <w:sz w:val="24"/>
          <w:szCs w:val="24"/>
        </w:rPr>
      </w:pPr>
    </w:p>
    <w:p w:rsidR="005A74C6" w:rsidRPr="00DB3CB8" w:rsidRDefault="005A74C6" w:rsidP="00EB3373">
      <w:pPr>
        <w:pStyle w:val="ListParagraph"/>
        <w:numPr>
          <w:ilvl w:val="0"/>
          <w:numId w:val="2"/>
        </w:numPr>
        <w:spacing w:line="360" w:lineRule="auto"/>
        <w:jc w:val="both"/>
        <w:rPr>
          <w:rFonts w:ascii="Garamond" w:hAnsi="Garamond"/>
          <w:sz w:val="24"/>
          <w:szCs w:val="24"/>
        </w:rPr>
      </w:pPr>
      <w:r w:rsidRPr="00DB3CB8">
        <w:rPr>
          <w:rFonts w:ascii="Garamond" w:hAnsi="Garamond"/>
          <w:sz w:val="24"/>
          <w:szCs w:val="24"/>
        </w:rPr>
        <w:t>Background</w:t>
      </w:r>
    </w:p>
    <w:p w:rsidR="005A74C6" w:rsidRPr="00DB3CB8" w:rsidRDefault="005A74C6" w:rsidP="00EB3373">
      <w:pPr>
        <w:spacing w:line="360" w:lineRule="auto"/>
        <w:jc w:val="both"/>
        <w:rPr>
          <w:rFonts w:ascii="Garamond" w:hAnsi="Garamond"/>
          <w:sz w:val="24"/>
          <w:szCs w:val="24"/>
        </w:rPr>
      </w:pPr>
      <w:r w:rsidRPr="00DB3CB8">
        <w:rPr>
          <w:rFonts w:ascii="Garamond" w:hAnsi="Garamond"/>
          <w:color w:val="000000"/>
          <w:sz w:val="24"/>
          <w:szCs w:val="24"/>
        </w:rPr>
        <w:t>I am a senior lecturer in law at the University of Adelaide.  Additionally, I am practicing barrister.  Also I am a member of the Law Council of Australia and am on business law committee and am on the subcommittee on the Competition and Consumer Act.  I have written numerous articles, contributed over a dozen chapters in various books and have written six books.  One of them was entitled</w:t>
      </w:r>
      <w:r w:rsidRPr="00DB3CB8">
        <w:rPr>
          <w:rStyle w:val="apple-converted-space"/>
          <w:rFonts w:ascii="Garamond" w:hAnsi="Garamond"/>
          <w:color w:val="000000"/>
          <w:sz w:val="24"/>
          <w:szCs w:val="24"/>
        </w:rPr>
        <w:t> </w:t>
      </w:r>
      <w:r w:rsidRPr="00DB3CB8">
        <w:rPr>
          <w:rFonts w:ascii="Garamond" w:hAnsi="Garamond"/>
          <w:i/>
          <w:iCs/>
          <w:color w:val="000000"/>
          <w:sz w:val="24"/>
          <w:szCs w:val="24"/>
        </w:rPr>
        <w:t>Remedies under the Trade Practices Act</w:t>
      </w:r>
      <w:r w:rsidRPr="00DB3CB8">
        <w:rPr>
          <w:rStyle w:val="apple-converted-space"/>
          <w:rFonts w:ascii="Garamond" w:hAnsi="Garamond"/>
          <w:i/>
          <w:iCs/>
          <w:color w:val="000000"/>
          <w:sz w:val="24"/>
          <w:szCs w:val="24"/>
        </w:rPr>
        <w:t> </w:t>
      </w:r>
      <w:r w:rsidRPr="00DB3CB8">
        <w:rPr>
          <w:rFonts w:ascii="Garamond" w:hAnsi="Garamond"/>
          <w:color w:val="000000"/>
          <w:sz w:val="24"/>
          <w:szCs w:val="24"/>
        </w:rPr>
        <w:t>(published by Oxford University Press).  My last two books, I’ve just written the second edition of my last book which has a chapter on remedies under the Competition and Consumer Act, focus on remedies.  A  few years ago I spoke at the conference on the Trade Practices Act about unconscionable conduct under the TPA.  My fellow speaker in this session was</w:t>
      </w:r>
      <w:r w:rsidRPr="00DB3CB8">
        <w:rPr>
          <w:rStyle w:val="apple-converted-space"/>
          <w:rFonts w:ascii="Garamond" w:hAnsi="Garamond"/>
          <w:color w:val="000000"/>
          <w:sz w:val="24"/>
          <w:szCs w:val="24"/>
        </w:rPr>
        <w:t> </w:t>
      </w:r>
      <w:r w:rsidRPr="00DB3CB8">
        <w:rPr>
          <w:rFonts w:ascii="Garamond" w:hAnsi="Garamond"/>
          <w:color w:val="000000"/>
          <w:sz w:val="24"/>
          <w:szCs w:val="24"/>
        </w:rPr>
        <w:t>William Kovacic, the then chairman of the US Federal Trade Commission.  Last year at another conference on the Act, a fellow speaker was his Honour Robert French, the current chief justice of the High Court.  Finally, I’m the title editor of two volumes on Equity in the Laws of Australia, as well as co-editor of the Australian S</w:t>
      </w:r>
      <w:r w:rsidR="006D73CD" w:rsidRPr="00DB3CB8">
        <w:rPr>
          <w:rFonts w:ascii="Garamond" w:hAnsi="Garamond"/>
          <w:color w:val="000000"/>
          <w:sz w:val="24"/>
          <w:szCs w:val="24"/>
        </w:rPr>
        <w:t>uccession and Trust Law Reports</w:t>
      </w:r>
      <w:r w:rsidRPr="00DB3CB8">
        <w:rPr>
          <w:rFonts w:ascii="Garamond" w:hAnsi="Garamond"/>
          <w:color w:val="000000"/>
          <w:sz w:val="24"/>
          <w:szCs w:val="24"/>
        </w:rPr>
        <w:t>.  From these positions I have valuable insights to successful reform the remedial provisions of the Competition and Consumer Act.  I should stress that this submission is being written in my personal capacity.</w:t>
      </w:r>
    </w:p>
    <w:p w:rsidR="005A74C6" w:rsidRPr="00DB3CB8" w:rsidRDefault="005A74C6" w:rsidP="00EB3373">
      <w:pPr>
        <w:pStyle w:val="ListParagraph"/>
        <w:numPr>
          <w:ilvl w:val="0"/>
          <w:numId w:val="2"/>
        </w:numPr>
        <w:spacing w:line="360" w:lineRule="auto"/>
        <w:jc w:val="both"/>
        <w:rPr>
          <w:rFonts w:ascii="Garamond" w:hAnsi="Garamond"/>
          <w:sz w:val="24"/>
          <w:szCs w:val="24"/>
        </w:rPr>
      </w:pPr>
      <w:r w:rsidRPr="00DB3CB8">
        <w:rPr>
          <w:rFonts w:ascii="Garamond" w:hAnsi="Garamond"/>
          <w:sz w:val="24"/>
          <w:szCs w:val="24"/>
        </w:rPr>
        <w:t>Introduction</w:t>
      </w:r>
    </w:p>
    <w:p w:rsidR="005A74C6" w:rsidRPr="00DB3CB8" w:rsidRDefault="005A74C6" w:rsidP="00EB3373">
      <w:pPr>
        <w:spacing w:line="360" w:lineRule="auto"/>
        <w:jc w:val="both"/>
        <w:rPr>
          <w:rFonts w:ascii="Garamond" w:hAnsi="Garamond"/>
          <w:sz w:val="24"/>
          <w:szCs w:val="24"/>
        </w:rPr>
      </w:pPr>
      <w:r w:rsidRPr="00DB3CB8">
        <w:rPr>
          <w:rFonts w:ascii="Garamond" w:hAnsi="Garamond"/>
          <w:sz w:val="24"/>
          <w:szCs w:val="24"/>
        </w:rPr>
        <w:t>At present the ACL is doing a good job.  But</w:t>
      </w:r>
      <w:r w:rsidR="003A604D" w:rsidRPr="00DB3CB8">
        <w:rPr>
          <w:rFonts w:ascii="Garamond" w:hAnsi="Garamond"/>
          <w:sz w:val="24"/>
          <w:szCs w:val="24"/>
        </w:rPr>
        <w:t xml:space="preserve"> it could work better.  </w:t>
      </w:r>
      <w:r w:rsidR="003E26A2" w:rsidRPr="00DB3CB8">
        <w:rPr>
          <w:rFonts w:ascii="Garamond" w:hAnsi="Garamond"/>
          <w:sz w:val="24"/>
          <w:szCs w:val="24"/>
        </w:rPr>
        <w:t xml:space="preserve">Why?  </w:t>
      </w:r>
      <w:r w:rsidR="003A604D" w:rsidRPr="00DB3CB8">
        <w:rPr>
          <w:rFonts w:ascii="Garamond" w:hAnsi="Garamond"/>
          <w:sz w:val="24"/>
          <w:szCs w:val="24"/>
        </w:rPr>
        <w:t>There is an enforcement gap.   T</w:t>
      </w:r>
      <w:r w:rsidRPr="00DB3CB8">
        <w:rPr>
          <w:rFonts w:ascii="Garamond" w:hAnsi="Garamond"/>
          <w:sz w:val="24"/>
          <w:szCs w:val="24"/>
        </w:rPr>
        <w:t>he ACL neglects to some degree a very important area-private enforcement</w:t>
      </w:r>
      <w:r w:rsidR="003E26A2" w:rsidRPr="00DB3CB8">
        <w:rPr>
          <w:rFonts w:ascii="Garamond" w:hAnsi="Garamond"/>
          <w:sz w:val="24"/>
          <w:szCs w:val="24"/>
        </w:rPr>
        <w:t xml:space="preserve"> of the consumer laws.  </w:t>
      </w:r>
      <w:r w:rsidRPr="00DB3CB8">
        <w:rPr>
          <w:rFonts w:ascii="Garamond" w:hAnsi="Garamond"/>
          <w:sz w:val="24"/>
          <w:szCs w:val="24"/>
        </w:rPr>
        <w:t xml:space="preserve">It is of little use in having wonderful consumer laws, if they are not well enforced.  </w:t>
      </w:r>
      <w:r w:rsidR="003A604D" w:rsidRPr="00DB3CB8">
        <w:rPr>
          <w:rFonts w:ascii="Garamond" w:hAnsi="Garamond"/>
          <w:sz w:val="24"/>
          <w:szCs w:val="24"/>
        </w:rPr>
        <w:t xml:space="preserve">Enforcement is a complex issue.  </w:t>
      </w:r>
      <w:r w:rsidRPr="00DB3CB8">
        <w:rPr>
          <w:rFonts w:ascii="Garamond" w:hAnsi="Garamond"/>
          <w:sz w:val="24"/>
          <w:szCs w:val="24"/>
        </w:rPr>
        <w:t>In Australia the enforcement of the consumer laws is divided between</w:t>
      </w:r>
    </w:p>
    <w:p w:rsidR="005A74C6" w:rsidRPr="00DB3CB8" w:rsidRDefault="005A74C6" w:rsidP="00EB3373">
      <w:pPr>
        <w:pStyle w:val="ListParagraph"/>
        <w:numPr>
          <w:ilvl w:val="1"/>
          <w:numId w:val="2"/>
        </w:numPr>
        <w:spacing w:line="360" w:lineRule="auto"/>
        <w:jc w:val="both"/>
        <w:rPr>
          <w:rFonts w:ascii="Garamond" w:hAnsi="Garamond"/>
          <w:sz w:val="24"/>
          <w:szCs w:val="24"/>
        </w:rPr>
      </w:pPr>
      <w:r w:rsidRPr="00DB3CB8">
        <w:rPr>
          <w:rFonts w:ascii="Garamond" w:hAnsi="Garamond"/>
          <w:sz w:val="24"/>
          <w:szCs w:val="24"/>
        </w:rPr>
        <w:t>Public enforcement (done by the Australian Competition and Consumer Commission), and</w:t>
      </w:r>
    </w:p>
    <w:p w:rsidR="005A74C6" w:rsidRPr="00DB3CB8" w:rsidRDefault="005A74C6" w:rsidP="00EB3373">
      <w:pPr>
        <w:pStyle w:val="ListParagraph"/>
        <w:numPr>
          <w:ilvl w:val="1"/>
          <w:numId w:val="2"/>
        </w:numPr>
        <w:spacing w:line="360" w:lineRule="auto"/>
        <w:jc w:val="both"/>
        <w:rPr>
          <w:rFonts w:ascii="Garamond" w:hAnsi="Garamond"/>
          <w:sz w:val="24"/>
          <w:szCs w:val="24"/>
        </w:rPr>
      </w:pPr>
      <w:r w:rsidRPr="00DB3CB8">
        <w:rPr>
          <w:rFonts w:ascii="Garamond" w:hAnsi="Garamond"/>
          <w:sz w:val="24"/>
          <w:szCs w:val="24"/>
        </w:rPr>
        <w:t>Private enforcement</w:t>
      </w:r>
    </w:p>
    <w:p w:rsidR="00866B95" w:rsidRPr="00DB3CB8" w:rsidRDefault="00866B95" w:rsidP="00EB3373">
      <w:pPr>
        <w:spacing w:line="360" w:lineRule="auto"/>
        <w:ind w:right="-46"/>
        <w:jc w:val="both"/>
        <w:rPr>
          <w:rFonts w:ascii="Garamond" w:hAnsi="Garamond"/>
          <w:sz w:val="24"/>
          <w:szCs w:val="24"/>
        </w:rPr>
      </w:pPr>
      <w:r w:rsidRPr="00DB3CB8">
        <w:rPr>
          <w:rFonts w:ascii="Garamond" w:hAnsi="Garamond"/>
          <w:sz w:val="24"/>
          <w:szCs w:val="24"/>
        </w:rPr>
        <w:t xml:space="preserve">The ACL seems to be currently premised on the idea that public enforcement (deterrence) is achieved directly by the ACCC and very indirectly by the award of compensatory damages causing parties like the wrongdoer to think “the wrongdoer did X and had to pay compensatory damages, therefore I shouldn’t do X”. This is regulation by hope.  This deterrence effect is extremely uncertain and could realistically be very small.  This submission focuses on increasing </w:t>
      </w:r>
      <w:r w:rsidRPr="00DB3CB8">
        <w:rPr>
          <w:rFonts w:ascii="Garamond" w:hAnsi="Garamond"/>
          <w:sz w:val="24"/>
          <w:szCs w:val="24"/>
        </w:rPr>
        <w:lastRenderedPageBreak/>
        <w:t xml:space="preserve">private enforcement of the consumer laws, meaning greater enforcement, which results in more effective consumer law.  </w:t>
      </w:r>
    </w:p>
    <w:p w:rsidR="00866FAE" w:rsidRPr="00DB3CB8" w:rsidRDefault="00866FAE" w:rsidP="00EB3373">
      <w:pPr>
        <w:spacing w:line="360" w:lineRule="auto"/>
        <w:ind w:right="-46"/>
        <w:jc w:val="both"/>
        <w:rPr>
          <w:rFonts w:ascii="Garamond" w:hAnsi="Garamond"/>
          <w:sz w:val="24"/>
          <w:szCs w:val="24"/>
        </w:rPr>
      </w:pPr>
    </w:p>
    <w:p w:rsidR="00866FAE" w:rsidRPr="00DB3CB8" w:rsidRDefault="00866FAE" w:rsidP="00EB3373">
      <w:pPr>
        <w:spacing w:line="360" w:lineRule="auto"/>
        <w:ind w:right="-46"/>
        <w:jc w:val="both"/>
        <w:rPr>
          <w:rFonts w:ascii="Garamond" w:hAnsi="Garamond"/>
          <w:sz w:val="24"/>
          <w:szCs w:val="24"/>
        </w:rPr>
      </w:pPr>
      <w:r w:rsidRPr="00DB3CB8">
        <w:rPr>
          <w:rFonts w:ascii="Garamond" w:hAnsi="Garamond"/>
          <w:sz w:val="24"/>
          <w:szCs w:val="24"/>
        </w:rPr>
        <w:t>The main form of enforcement is public enforcement.  Traditionally, the ACCC have been more (rightly) concerned with cases that affect large numbers of people, which is where private litigation would help bring justice when smaller groups are affected.</w:t>
      </w:r>
      <w:r w:rsidRPr="00DB3CB8">
        <w:rPr>
          <w:rStyle w:val="FootnoteReference"/>
          <w:rFonts w:ascii="Garamond" w:hAnsi="Garamond"/>
          <w:sz w:val="24"/>
          <w:szCs w:val="24"/>
        </w:rPr>
        <w:footnoteReference w:id="1"/>
      </w:r>
      <w:r w:rsidRPr="00DB3CB8">
        <w:rPr>
          <w:rFonts w:ascii="Garamond" w:hAnsi="Garamond"/>
          <w:sz w:val="24"/>
          <w:szCs w:val="24"/>
        </w:rPr>
        <w:t xml:space="preserve"> Private enforcement is important because there are going to be failures in deterrence and compliance of consumer law and enhanced private enforcement can overcome these shortcomings.  Further, private enforcement takes some of the pressure off the ACCC as effectively Australia’s only enforcer of the consumer laws.  This point is extremely important, as it reveals a real vulnerability with consumer protection.  The ACCC is completely dependent on the government for funding.  As the sad experience of ASIC shows, this can be a trap.  It should be recognised that the public enforcement is completely resourced by the Commonwealth government.  The ACCC is totally at the financial “mercy” of the government.  Budgets of public bodies can be slashed. A good example of this reality is the financial regulator which is the equivalent of the ACCC, ASIC.  The financial woes of ASIC following deep financial cuts compromises ASIC public enforcement role.  If enforcement of the consumer laws is almost exclusively public, this reality of complete financial vulnerability of the ACCC is extremely frightening.</w:t>
      </w:r>
      <w:r w:rsidRPr="00DB3CB8">
        <w:rPr>
          <w:rFonts w:ascii="Garamond" w:hAnsi="Garamond"/>
          <w:color w:val="0070C0"/>
          <w:sz w:val="24"/>
          <w:szCs w:val="24"/>
        </w:rPr>
        <w:t xml:space="preserve">  </w:t>
      </w:r>
      <w:r w:rsidRPr="00DB3CB8">
        <w:rPr>
          <w:rFonts w:ascii="Garamond" w:hAnsi="Garamond"/>
          <w:sz w:val="24"/>
          <w:szCs w:val="24"/>
        </w:rPr>
        <w:t xml:space="preserve">If the ACCC falls from government favour funding can be cut.  And there goes any real enforcement of consumer laws.  </w:t>
      </w:r>
    </w:p>
    <w:p w:rsidR="00866FAE" w:rsidRPr="00DB3CB8" w:rsidRDefault="00866FAE" w:rsidP="00EB3373">
      <w:pPr>
        <w:spacing w:line="360" w:lineRule="auto"/>
        <w:ind w:right="-46"/>
        <w:jc w:val="both"/>
        <w:rPr>
          <w:rFonts w:ascii="Garamond" w:hAnsi="Garamond"/>
          <w:sz w:val="24"/>
          <w:szCs w:val="24"/>
        </w:rPr>
      </w:pPr>
    </w:p>
    <w:p w:rsidR="003C5489" w:rsidRPr="00DB3CB8" w:rsidRDefault="005A74C6" w:rsidP="00EB3373">
      <w:pPr>
        <w:spacing w:line="360" w:lineRule="auto"/>
        <w:ind w:right="-46"/>
        <w:jc w:val="both"/>
        <w:rPr>
          <w:rFonts w:ascii="Garamond" w:hAnsi="Garamond"/>
          <w:sz w:val="24"/>
          <w:szCs w:val="24"/>
        </w:rPr>
      </w:pPr>
      <w:r w:rsidRPr="00DB3CB8">
        <w:rPr>
          <w:rFonts w:ascii="Garamond" w:hAnsi="Garamond"/>
          <w:sz w:val="24"/>
          <w:szCs w:val="24"/>
        </w:rPr>
        <w:t>Private enforcement is an important part of the consumer laws. In numerous ways it adds to enforcement of consumer laws and removes pressure upon the ACCC to attempt to pursue all matters</w:t>
      </w:r>
      <w:r w:rsidR="003E26A2" w:rsidRPr="00DB3CB8">
        <w:rPr>
          <w:rFonts w:ascii="Garamond" w:hAnsi="Garamond"/>
          <w:sz w:val="24"/>
          <w:szCs w:val="24"/>
        </w:rPr>
        <w:t>.  The Com</w:t>
      </w:r>
      <w:r w:rsidR="00866B95" w:rsidRPr="00DB3CB8">
        <w:rPr>
          <w:rFonts w:ascii="Garamond" w:hAnsi="Garamond"/>
          <w:sz w:val="24"/>
          <w:szCs w:val="24"/>
        </w:rPr>
        <w:t>m</w:t>
      </w:r>
      <w:r w:rsidR="003E26A2" w:rsidRPr="00DB3CB8">
        <w:rPr>
          <w:rFonts w:ascii="Garamond" w:hAnsi="Garamond"/>
          <w:sz w:val="24"/>
          <w:szCs w:val="24"/>
        </w:rPr>
        <w:t>ission</w:t>
      </w:r>
      <w:r w:rsidRPr="00DB3CB8">
        <w:rPr>
          <w:rFonts w:ascii="Garamond" w:hAnsi="Garamond"/>
          <w:sz w:val="24"/>
          <w:szCs w:val="24"/>
        </w:rPr>
        <w:t xml:space="preserve"> does not have the resources to follow up all matters.  But at the moment there is </w:t>
      </w:r>
      <w:r w:rsidR="00403982" w:rsidRPr="00DB3CB8">
        <w:rPr>
          <w:rFonts w:ascii="Garamond" w:hAnsi="Garamond"/>
          <w:sz w:val="24"/>
          <w:szCs w:val="24"/>
        </w:rPr>
        <w:t xml:space="preserve">there is some private </w:t>
      </w:r>
      <w:r w:rsidRPr="00DB3CB8">
        <w:rPr>
          <w:rFonts w:ascii="Garamond" w:hAnsi="Garamond"/>
          <w:sz w:val="24"/>
          <w:szCs w:val="24"/>
        </w:rPr>
        <w:t>enforcement in Australia.</w:t>
      </w:r>
      <w:r w:rsidR="00403982" w:rsidRPr="00DB3CB8">
        <w:rPr>
          <w:rFonts w:ascii="Garamond" w:hAnsi="Garamond"/>
          <w:sz w:val="24"/>
          <w:szCs w:val="24"/>
        </w:rPr>
        <w:t xml:space="preserve">  It </w:t>
      </w:r>
      <w:r w:rsidR="00403982" w:rsidRPr="00DB3CB8">
        <w:rPr>
          <w:rFonts w:ascii="Garamond" w:hAnsi="Garamond"/>
          <w:sz w:val="24"/>
          <w:szCs w:val="24"/>
          <w:u w:val="single"/>
        </w:rPr>
        <w:t>appears</w:t>
      </w:r>
      <w:r w:rsidR="00403982" w:rsidRPr="00DB3CB8">
        <w:rPr>
          <w:rFonts w:ascii="Garamond" w:hAnsi="Garamond"/>
          <w:sz w:val="24"/>
          <w:szCs w:val="24"/>
        </w:rPr>
        <w:t xml:space="preserve"> </w:t>
      </w:r>
      <w:r w:rsidR="004F1703" w:rsidRPr="00DB3CB8">
        <w:rPr>
          <w:rFonts w:ascii="Garamond" w:hAnsi="Garamond"/>
          <w:sz w:val="24"/>
          <w:szCs w:val="24"/>
        </w:rPr>
        <w:t xml:space="preserve">extremely </w:t>
      </w:r>
      <w:r w:rsidR="00403982" w:rsidRPr="00DB3CB8">
        <w:rPr>
          <w:rFonts w:ascii="Garamond" w:hAnsi="Garamond"/>
          <w:sz w:val="24"/>
          <w:szCs w:val="24"/>
        </w:rPr>
        <w:t xml:space="preserve">robust and common. </w:t>
      </w:r>
      <w:r w:rsidR="006D73CD" w:rsidRPr="00DB3CB8">
        <w:rPr>
          <w:rFonts w:ascii="Garamond" w:hAnsi="Garamond"/>
          <w:sz w:val="24"/>
          <w:szCs w:val="24"/>
        </w:rPr>
        <w:t>Private actions under ACL are numerous.  There are l</w:t>
      </w:r>
      <w:r w:rsidR="00403982" w:rsidRPr="00DB3CB8">
        <w:rPr>
          <w:rFonts w:ascii="Garamond" w:hAnsi="Garamond"/>
          <w:sz w:val="24"/>
          <w:szCs w:val="24"/>
        </w:rPr>
        <w:t xml:space="preserve">ots </w:t>
      </w:r>
      <w:r w:rsidR="004F1703" w:rsidRPr="00DB3CB8">
        <w:rPr>
          <w:rFonts w:ascii="Garamond" w:hAnsi="Garamond"/>
          <w:sz w:val="24"/>
          <w:szCs w:val="24"/>
        </w:rPr>
        <w:t>a</w:t>
      </w:r>
      <w:r w:rsidR="00403982" w:rsidRPr="00DB3CB8">
        <w:rPr>
          <w:rFonts w:ascii="Garamond" w:hAnsi="Garamond"/>
          <w:sz w:val="24"/>
          <w:szCs w:val="24"/>
        </w:rPr>
        <w:t xml:space="preserve">nd lots of cases. But appearances can be deceptive.  And here they are very deceptive.  </w:t>
      </w:r>
      <w:r w:rsidR="006D73CD" w:rsidRPr="00DB3CB8">
        <w:rPr>
          <w:rFonts w:ascii="Garamond" w:hAnsi="Garamond"/>
          <w:sz w:val="24"/>
          <w:szCs w:val="24"/>
        </w:rPr>
        <w:t xml:space="preserve">Private actions and private enforcement, although </w:t>
      </w:r>
      <w:r w:rsidR="00E028CD" w:rsidRPr="00DB3CB8">
        <w:rPr>
          <w:rFonts w:ascii="Garamond" w:hAnsi="Garamond"/>
          <w:sz w:val="24"/>
          <w:szCs w:val="24"/>
        </w:rPr>
        <w:t xml:space="preserve">obviously </w:t>
      </w:r>
      <w:r w:rsidR="006D73CD" w:rsidRPr="00DB3CB8">
        <w:rPr>
          <w:rFonts w:ascii="Garamond" w:hAnsi="Garamond"/>
          <w:sz w:val="24"/>
          <w:szCs w:val="24"/>
        </w:rPr>
        <w:t>related</w:t>
      </w:r>
      <w:r w:rsidR="00E028CD" w:rsidRPr="00DB3CB8">
        <w:rPr>
          <w:rFonts w:ascii="Garamond" w:hAnsi="Garamond"/>
          <w:sz w:val="24"/>
          <w:szCs w:val="24"/>
        </w:rPr>
        <w:t>, are two different concepts.  Although p</w:t>
      </w:r>
      <w:r w:rsidR="006D73CD" w:rsidRPr="00DB3CB8">
        <w:rPr>
          <w:rFonts w:ascii="Garamond" w:hAnsi="Garamond"/>
          <w:sz w:val="24"/>
          <w:szCs w:val="24"/>
        </w:rPr>
        <w:t>rivate</w:t>
      </w:r>
      <w:r w:rsidR="00E028CD" w:rsidRPr="00DB3CB8">
        <w:rPr>
          <w:rFonts w:ascii="Garamond" w:hAnsi="Garamond"/>
          <w:sz w:val="24"/>
          <w:szCs w:val="24"/>
        </w:rPr>
        <w:t xml:space="preserve"> actions </w:t>
      </w:r>
      <w:r w:rsidR="00FD21B4" w:rsidRPr="00DB3CB8">
        <w:rPr>
          <w:rFonts w:ascii="Garamond" w:hAnsi="Garamond"/>
          <w:sz w:val="24"/>
          <w:szCs w:val="24"/>
        </w:rPr>
        <w:t xml:space="preserve">are numerous, private </w:t>
      </w:r>
      <w:r w:rsidR="006D73CD" w:rsidRPr="00DB3CB8">
        <w:rPr>
          <w:rFonts w:ascii="Garamond" w:hAnsi="Garamond"/>
          <w:sz w:val="24"/>
          <w:szCs w:val="24"/>
        </w:rPr>
        <w:t xml:space="preserve"> enforcement </w:t>
      </w:r>
      <w:r w:rsidR="00403982" w:rsidRPr="00DB3CB8">
        <w:rPr>
          <w:rFonts w:ascii="Garamond" w:hAnsi="Garamond"/>
          <w:sz w:val="24"/>
          <w:szCs w:val="24"/>
        </w:rPr>
        <w:t>is small</w:t>
      </w:r>
      <w:r w:rsidR="006D73CD" w:rsidRPr="00DB3CB8">
        <w:rPr>
          <w:rFonts w:ascii="Garamond" w:hAnsi="Garamond"/>
          <w:sz w:val="24"/>
          <w:szCs w:val="24"/>
        </w:rPr>
        <w:t xml:space="preserve"> and</w:t>
      </w:r>
      <w:r w:rsidR="00403982" w:rsidRPr="00DB3CB8">
        <w:rPr>
          <w:rFonts w:ascii="Garamond" w:hAnsi="Garamond"/>
          <w:sz w:val="24"/>
          <w:szCs w:val="24"/>
        </w:rPr>
        <w:t xml:space="preserve"> ad hoc</w:t>
      </w:r>
      <w:r w:rsidR="006D73CD" w:rsidRPr="00DB3CB8">
        <w:rPr>
          <w:rFonts w:ascii="Garamond" w:hAnsi="Garamond"/>
          <w:sz w:val="24"/>
          <w:szCs w:val="24"/>
        </w:rPr>
        <w:t>.  Why?  Private actions only compensates</w:t>
      </w:r>
      <w:r w:rsidR="00403982" w:rsidRPr="00DB3CB8">
        <w:rPr>
          <w:rFonts w:ascii="Garamond" w:hAnsi="Garamond"/>
          <w:sz w:val="24"/>
          <w:szCs w:val="24"/>
        </w:rPr>
        <w:t xml:space="preserve"> the injured party but that is all. </w:t>
      </w:r>
      <w:r w:rsidRPr="00DB3CB8">
        <w:rPr>
          <w:rFonts w:ascii="Garamond" w:hAnsi="Garamond"/>
          <w:sz w:val="24"/>
          <w:szCs w:val="24"/>
        </w:rPr>
        <w:t xml:space="preserve"> </w:t>
      </w:r>
      <w:r w:rsidR="006D73CD" w:rsidRPr="00DB3CB8">
        <w:rPr>
          <w:rFonts w:ascii="Garamond" w:hAnsi="Garamond"/>
          <w:sz w:val="24"/>
          <w:szCs w:val="24"/>
        </w:rPr>
        <w:t xml:space="preserve">Private actions can only produce damages based </w:t>
      </w:r>
      <w:r w:rsidR="00866B95" w:rsidRPr="00DB3CB8">
        <w:rPr>
          <w:rFonts w:ascii="Garamond" w:hAnsi="Garamond"/>
          <w:sz w:val="24"/>
          <w:szCs w:val="24"/>
        </w:rPr>
        <w:t xml:space="preserve">solely </w:t>
      </w:r>
      <w:r w:rsidR="006D73CD" w:rsidRPr="00DB3CB8">
        <w:rPr>
          <w:rFonts w:ascii="Garamond" w:hAnsi="Garamond"/>
          <w:sz w:val="24"/>
          <w:szCs w:val="24"/>
        </w:rPr>
        <w:t xml:space="preserve">on compensation.  </w:t>
      </w:r>
      <w:r w:rsidR="00866B95" w:rsidRPr="00DB3CB8">
        <w:rPr>
          <w:rFonts w:ascii="Garamond" w:hAnsi="Garamond"/>
          <w:sz w:val="24"/>
          <w:szCs w:val="24"/>
        </w:rPr>
        <w:t>But p</w:t>
      </w:r>
      <w:r w:rsidR="003E26A2" w:rsidRPr="00DB3CB8">
        <w:rPr>
          <w:rFonts w:ascii="Garamond" w:hAnsi="Garamond"/>
          <w:sz w:val="24"/>
          <w:szCs w:val="24"/>
        </w:rPr>
        <w:t>ure c</w:t>
      </w:r>
      <w:r w:rsidR="00A40A24" w:rsidRPr="00DB3CB8">
        <w:rPr>
          <w:rFonts w:ascii="Garamond" w:hAnsi="Garamond"/>
          <w:sz w:val="24"/>
          <w:szCs w:val="24"/>
        </w:rPr>
        <w:t>ompensation</w:t>
      </w:r>
      <w:r w:rsidR="00866B95" w:rsidRPr="00DB3CB8">
        <w:rPr>
          <w:rFonts w:ascii="Garamond" w:hAnsi="Garamond"/>
          <w:sz w:val="24"/>
          <w:szCs w:val="24"/>
        </w:rPr>
        <w:t xml:space="preserve"> lacks much</w:t>
      </w:r>
      <w:r w:rsidR="00403982" w:rsidRPr="00DB3CB8">
        <w:rPr>
          <w:rFonts w:ascii="Garamond" w:hAnsi="Garamond"/>
          <w:sz w:val="24"/>
          <w:szCs w:val="24"/>
        </w:rPr>
        <w:t xml:space="preserve"> real deterrence.</w:t>
      </w:r>
      <w:r w:rsidR="00A40A24" w:rsidRPr="00DB3CB8">
        <w:rPr>
          <w:rFonts w:ascii="Garamond" w:hAnsi="Garamond"/>
          <w:sz w:val="24"/>
          <w:szCs w:val="24"/>
        </w:rPr>
        <w:t xml:space="preserve"> This lack is the compounded </w:t>
      </w:r>
      <w:r w:rsidR="00A40A24" w:rsidRPr="00DB3CB8">
        <w:rPr>
          <w:rFonts w:ascii="Garamond" w:hAnsi="Garamond"/>
          <w:sz w:val="24"/>
          <w:szCs w:val="24"/>
        </w:rPr>
        <w:lastRenderedPageBreak/>
        <w:t>by</w:t>
      </w:r>
      <w:r w:rsidRPr="00DB3CB8">
        <w:rPr>
          <w:rFonts w:ascii="Garamond" w:hAnsi="Garamond"/>
          <w:sz w:val="24"/>
          <w:szCs w:val="24"/>
        </w:rPr>
        <w:t xml:space="preserve"> a few things, such as the time and expense of</w:t>
      </w:r>
      <w:r w:rsidR="00A40A24" w:rsidRPr="00DB3CB8">
        <w:rPr>
          <w:rFonts w:ascii="Garamond" w:hAnsi="Garamond"/>
          <w:sz w:val="24"/>
          <w:szCs w:val="24"/>
        </w:rPr>
        <w:t xml:space="preserve"> private</w:t>
      </w:r>
      <w:r w:rsidRPr="00DB3CB8">
        <w:rPr>
          <w:rFonts w:ascii="Garamond" w:hAnsi="Garamond"/>
          <w:sz w:val="24"/>
          <w:szCs w:val="24"/>
        </w:rPr>
        <w:t xml:space="preserve"> action.  Fundamentally, this means it is simply not worth it for potential plaintiffs to privately enforce the consumer law. As a consequence there is very </w:t>
      </w:r>
      <w:r w:rsidR="00403982" w:rsidRPr="00DB3CB8">
        <w:rPr>
          <w:rFonts w:ascii="Garamond" w:hAnsi="Garamond"/>
          <w:sz w:val="24"/>
          <w:szCs w:val="24"/>
        </w:rPr>
        <w:t xml:space="preserve">little real </w:t>
      </w:r>
      <w:r w:rsidRPr="00DB3CB8">
        <w:rPr>
          <w:rFonts w:ascii="Garamond" w:hAnsi="Garamond"/>
          <w:sz w:val="24"/>
          <w:szCs w:val="24"/>
        </w:rPr>
        <w:t>private enforcement of the co</w:t>
      </w:r>
      <w:r w:rsidR="00403982" w:rsidRPr="00DB3CB8">
        <w:rPr>
          <w:rFonts w:ascii="Garamond" w:hAnsi="Garamond"/>
          <w:sz w:val="24"/>
          <w:szCs w:val="24"/>
        </w:rPr>
        <w:t>nsumer</w:t>
      </w:r>
      <w:r w:rsidRPr="00DB3CB8">
        <w:rPr>
          <w:rFonts w:ascii="Garamond" w:hAnsi="Garamond"/>
          <w:sz w:val="24"/>
          <w:szCs w:val="24"/>
        </w:rPr>
        <w:t xml:space="preserve"> law in Australi</w:t>
      </w:r>
      <w:r w:rsidR="00185D57" w:rsidRPr="00DB3CB8">
        <w:rPr>
          <w:rFonts w:ascii="Garamond" w:hAnsi="Garamond"/>
          <w:sz w:val="24"/>
          <w:szCs w:val="24"/>
        </w:rPr>
        <w:t>a.  Effectively Australia has little</w:t>
      </w:r>
      <w:r w:rsidRPr="00DB3CB8">
        <w:rPr>
          <w:rFonts w:ascii="Garamond" w:hAnsi="Garamond"/>
          <w:sz w:val="24"/>
          <w:szCs w:val="24"/>
        </w:rPr>
        <w:t xml:space="preserve"> private enforcement of the </w:t>
      </w:r>
      <w:r w:rsidR="00185D57" w:rsidRPr="00DB3CB8">
        <w:rPr>
          <w:rFonts w:ascii="Garamond" w:hAnsi="Garamond"/>
          <w:sz w:val="24"/>
          <w:szCs w:val="24"/>
        </w:rPr>
        <w:t xml:space="preserve">consumer </w:t>
      </w:r>
      <w:r w:rsidRPr="00DB3CB8">
        <w:rPr>
          <w:rFonts w:ascii="Garamond" w:hAnsi="Garamond"/>
          <w:sz w:val="24"/>
          <w:szCs w:val="24"/>
        </w:rPr>
        <w:t xml:space="preserve">laws.  </w:t>
      </w:r>
      <w:r w:rsidR="00306052" w:rsidRPr="00DB3CB8">
        <w:rPr>
          <w:rFonts w:ascii="Garamond" w:hAnsi="Garamond"/>
          <w:sz w:val="24"/>
          <w:szCs w:val="24"/>
        </w:rPr>
        <w:t>Or to put it another way, Australia</w:t>
      </w:r>
      <w:r w:rsidR="00A40A24" w:rsidRPr="00DB3CB8">
        <w:rPr>
          <w:rFonts w:ascii="Garamond" w:hAnsi="Garamond"/>
          <w:sz w:val="24"/>
          <w:szCs w:val="24"/>
        </w:rPr>
        <w:t xml:space="preserve"> has a lot of private actions</w:t>
      </w:r>
      <w:r w:rsidR="00306052" w:rsidRPr="00DB3CB8">
        <w:rPr>
          <w:rFonts w:ascii="Garamond" w:hAnsi="Garamond"/>
          <w:sz w:val="24"/>
          <w:szCs w:val="24"/>
        </w:rPr>
        <w:t xml:space="preserve"> leading to compensation but very little private enforcement leading to dete</w:t>
      </w:r>
      <w:r w:rsidR="00A22780" w:rsidRPr="00DB3CB8">
        <w:rPr>
          <w:rFonts w:ascii="Garamond" w:hAnsi="Garamond"/>
          <w:sz w:val="24"/>
          <w:szCs w:val="24"/>
        </w:rPr>
        <w:t>r</w:t>
      </w:r>
      <w:r w:rsidR="00306052" w:rsidRPr="00DB3CB8">
        <w:rPr>
          <w:rFonts w:ascii="Garamond" w:hAnsi="Garamond"/>
          <w:sz w:val="24"/>
          <w:szCs w:val="24"/>
        </w:rPr>
        <w:t xml:space="preserve">rence.  </w:t>
      </w:r>
      <w:r w:rsidR="00A84071" w:rsidRPr="00DB3CB8">
        <w:rPr>
          <w:rFonts w:ascii="Garamond" w:hAnsi="Garamond"/>
          <w:sz w:val="24"/>
          <w:szCs w:val="24"/>
        </w:rPr>
        <w:t xml:space="preserve">Further, private actions, although numerous, may only represent a small number of </w:t>
      </w:r>
      <w:r w:rsidR="00A40A24" w:rsidRPr="00DB3CB8">
        <w:rPr>
          <w:rFonts w:ascii="Garamond" w:hAnsi="Garamond"/>
          <w:sz w:val="24"/>
          <w:szCs w:val="24"/>
        </w:rPr>
        <w:t xml:space="preserve">the </w:t>
      </w:r>
      <w:r w:rsidR="00A84071" w:rsidRPr="00DB3CB8">
        <w:rPr>
          <w:rFonts w:ascii="Garamond" w:hAnsi="Garamond"/>
          <w:sz w:val="24"/>
          <w:szCs w:val="24"/>
        </w:rPr>
        <w:t xml:space="preserve">possible actions.  A prospective applicant for damages must weigh the probability of achieving compensatory damages of uncertain magnitude against costly litigation of uncertain length, the cost certain to be substantial even should the action be successful.  </w:t>
      </w:r>
      <w:r w:rsidRPr="00DB3CB8">
        <w:rPr>
          <w:rFonts w:ascii="Garamond" w:hAnsi="Garamond"/>
          <w:sz w:val="24"/>
          <w:szCs w:val="24"/>
        </w:rPr>
        <w:t>Further, greater private enforcement also means greater effici</w:t>
      </w:r>
      <w:r w:rsidR="004F1703" w:rsidRPr="00DB3CB8">
        <w:rPr>
          <w:rFonts w:ascii="Garamond" w:hAnsi="Garamond"/>
          <w:sz w:val="24"/>
          <w:szCs w:val="24"/>
        </w:rPr>
        <w:t>ency as persons injured by this</w:t>
      </w:r>
      <w:r w:rsidRPr="00DB3CB8">
        <w:rPr>
          <w:rFonts w:ascii="Garamond" w:hAnsi="Garamond"/>
          <w:sz w:val="24"/>
          <w:szCs w:val="24"/>
        </w:rPr>
        <w:t xml:space="preserve"> behaviour are truly compensated.  </w:t>
      </w:r>
    </w:p>
    <w:p w:rsidR="003F650B" w:rsidRPr="00DB3CB8" w:rsidRDefault="003F650B" w:rsidP="00EB3373">
      <w:pPr>
        <w:spacing w:line="360" w:lineRule="auto"/>
        <w:ind w:right="-46"/>
        <w:jc w:val="both"/>
        <w:rPr>
          <w:rFonts w:ascii="Garamond" w:hAnsi="Garamond"/>
          <w:sz w:val="24"/>
          <w:szCs w:val="24"/>
        </w:rPr>
      </w:pPr>
    </w:p>
    <w:p w:rsidR="003F650B" w:rsidRPr="00DB3CB8" w:rsidRDefault="00EB3373" w:rsidP="00EB3373">
      <w:pPr>
        <w:spacing w:line="360" w:lineRule="auto"/>
        <w:ind w:right="-46" w:firstLine="720"/>
        <w:jc w:val="both"/>
        <w:rPr>
          <w:rFonts w:ascii="Garamond" w:hAnsi="Garamond"/>
          <w:sz w:val="24"/>
          <w:szCs w:val="24"/>
        </w:rPr>
      </w:pPr>
      <w:r>
        <w:rPr>
          <w:rFonts w:ascii="Garamond" w:hAnsi="Garamond"/>
          <w:sz w:val="24"/>
          <w:szCs w:val="24"/>
        </w:rPr>
        <w:t xml:space="preserve">3. </w:t>
      </w:r>
      <w:r w:rsidR="003F650B" w:rsidRPr="00DB3CB8">
        <w:rPr>
          <w:rFonts w:ascii="Garamond" w:hAnsi="Garamond"/>
          <w:sz w:val="24"/>
          <w:szCs w:val="24"/>
        </w:rPr>
        <w:t>The Present Situation of Damages</w:t>
      </w:r>
    </w:p>
    <w:p w:rsidR="00C3059A" w:rsidRPr="00DB3CB8" w:rsidRDefault="008B63E7" w:rsidP="00EB3373">
      <w:pPr>
        <w:spacing w:line="360" w:lineRule="auto"/>
        <w:ind w:right="-46"/>
        <w:jc w:val="both"/>
        <w:rPr>
          <w:rFonts w:ascii="Garamond" w:hAnsi="Garamond"/>
          <w:sz w:val="24"/>
          <w:szCs w:val="24"/>
        </w:rPr>
      </w:pPr>
      <w:r w:rsidRPr="00DB3CB8">
        <w:rPr>
          <w:rFonts w:ascii="Garamond" w:hAnsi="Garamond"/>
          <w:sz w:val="24"/>
          <w:szCs w:val="24"/>
        </w:rPr>
        <w:t xml:space="preserve">Remedially, most private actions in the ACL revolve around one section.  Section 236. </w:t>
      </w:r>
      <w:r w:rsidR="00C3059A" w:rsidRPr="00DB3CB8">
        <w:rPr>
          <w:rFonts w:ascii="Garamond" w:hAnsi="Garamond"/>
          <w:sz w:val="24"/>
          <w:szCs w:val="24"/>
        </w:rPr>
        <w:t xml:space="preserve"> It provides </w:t>
      </w:r>
      <w:bookmarkStart w:id="0" w:name="_Toc448153493"/>
      <w:r w:rsidR="00C3059A" w:rsidRPr="00DB3CB8">
        <w:rPr>
          <w:rFonts w:ascii="Garamond" w:hAnsi="Garamond"/>
          <w:sz w:val="24"/>
          <w:szCs w:val="24"/>
        </w:rPr>
        <w:br/>
        <w:t>236   Actions for damages</w:t>
      </w:r>
      <w:bookmarkEnd w:id="0"/>
    </w:p>
    <w:p w:rsidR="00C3059A" w:rsidRPr="00DB3CB8" w:rsidRDefault="00C3059A" w:rsidP="00EB3373">
      <w:pPr>
        <w:spacing w:line="360" w:lineRule="auto"/>
        <w:ind w:right="-46"/>
        <w:jc w:val="both"/>
        <w:rPr>
          <w:rFonts w:ascii="Garamond" w:hAnsi="Garamond"/>
          <w:sz w:val="24"/>
          <w:szCs w:val="24"/>
        </w:rPr>
      </w:pPr>
      <w:r w:rsidRPr="00DB3CB8">
        <w:rPr>
          <w:rFonts w:ascii="Garamond" w:hAnsi="Garamond"/>
          <w:sz w:val="24"/>
          <w:szCs w:val="24"/>
        </w:rPr>
        <w:t xml:space="preserve"> (1)  If:</w:t>
      </w:r>
    </w:p>
    <w:p w:rsidR="00C3059A" w:rsidRPr="00DB3CB8" w:rsidRDefault="00C3059A" w:rsidP="00EB3373">
      <w:pPr>
        <w:spacing w:line="360" w:lineRule="auto"/>
        <w:ind w:right="-46" w:firstLine="720"/>
        <w:jc w:val="both"/>
        <w:rPr>
          <w:rFonts w:ascii="Garamond" w:hAnsi="Garamond"/>
          <w:sz w:val="24"/>
          <w:szCs w:val="24"/>
        </w:rPr>
      </w:pPr>
      <w:r w:rsidRPr="00DB3CB8">
        <w:rPr>
          <w:rFonts w:ascii="Garamond" w:hAnsi="Garamond"/>
          <w:sz w:val="24"/>
          <w:szCs w:val="24"/>
        </w:rPr>
        <w:t xml:space="preserve"> (a)  a person (the </w:t>
      </w:r>
      <w:r w:rsidRPr="00DB3CB8">
        <w:rPr>
          <w:rFonts w:ascii="Garamond" w:hAnsi="Garamond"/>
          <w:b/>
          <w:bCs/>
          <w:i/>
          <w:iCs/>
          <w:sz w:val="24"/>
          <w:szCs w:val="24"/>
        </w:rPr>
        <w:t>claimant </w:t>
      </w:r>
      <w:r w:rsidRPr="00DB3CB8">
        <w:rPr>
          <w:rFonts w:ascii="Garamond" w:hAnsi="Garamond"/>
          <w:sz w:val="24"/>
          <w:szCs w:val="24"/>
        </w:rPr>
        <w:t>) suffers loss or damage because of the conduct of another person; and</w:t>
      </w:r>
    </w:p>
    <w:p w:rsidR="00C3059A" w:rsidRPr="00DB3CB8" w:rsidRDefault="00C3059A" w:rsidP="00EB3373">
      <w:pPr>
        <w:spacing w:line="360" w:lineRule="auto"/>
        <w:ind w:right="-46" w:firstLine="720"/>
        <w:jc w:val="both"/>
        <w:rPr>
          <w:rFonts w:ascii="Garamond" w:hAnsi="Garamond"/>
          <w:sz w:val="24"/>
          <w:szCs w:val="24"/>
        </w:rPr>
      </w:pPr>
      <w:r w:rsidRPr="00DB3CB8">
        <w:rPr>
          <w:rFonts w:ascii="Garamond" w:hAnsi="Garamond"/>
          <w:sz w:val="24"/>
          <w:szCs w:val="24"/>
        </w:rPr>
        <w:t xml:space="preserve"> (b)  the conduct contravened a provision of Chapter 2 or 3;</w:t>
      </w:r>
    </w:p>
    <w:p w:rsidR="00C3059A" w:rsidRPr="00DB3CB8" w:rsidRDefault="00C3059A" w:rsidP="00EB3373">
      <w:pPr>
        <w:spacing w:line="360" w:lineRule="auto"/>
        <w:ind w:right="-46"/>
        <w:jc w:val="both"/>
        <w:rPr>
          <w:rFonts w:ascii="Garamond" w:hAnsi="Garamond"/>
          <w:sz w:val="24"/>
          <w:szCs w:val="24"/>
        </w:rPr>
      </w:pPr>
      <w:r w:rsidRPr="00DB3CB8">
        <w:rPr>
          <w:rFonts w:ascii="Garamond" w:hAnsi="Garamond"/>
          <w:sz w:val="24"/>
          <w:szCs w:val="24"/>
        </w:rPr>
        <w:t>the claimant may recover the amount of the loss or damage by action against that other person, or against any person involved in the contravention.</w:t>
      </w:r>
    </w:p>
    <w:p w:rsidR="00C3059A" w:rsidRPr="00DB3CB8" w:rsidRDefault="008E565C" w:rsidP="00EB3373">
      <w:pPr>
        <w:spacing w:line="360" w:lineRule="auto"/>
        <w:ind w:right="-46"/>
        <w:jc w:val="both"/>
        <w:rPr>
          <w:rFonts w:ascii="Garamond" w:hAnsi="Garamond"/>
          <w:sz w:val="24"/>
          <w:szCs w:val="24"/>
        </w:rPr>
      </w:pPr>
      <w:r w:rsidRPr="00DB3CB8">
        <w:rPr>
          <w:rFonts w:ascii="Garamond" w:hAnsi="Garamond"/>
          <w:sz w:val="24"/>
          <w:szCs w:val="24"/>
        </w:rPr>
        <w:t xml:space="preserve">As the Act’s damages provision is presently written exemplary damages is not available per </w:t>
      </w:r>
      <w:r w:rsidRPr="00DB3CB8">
        <w:rPr>
          <w:rFonts w:ascii="Garamond" w:hAnsi="Garamond"/>
          <w:i/>
          <w:iCs/>
          <w:sz w:val="24"/>
          <w:szCs w:val="24"/>
        </w:rPr>
        <w:t>Musca v Astle Corp Pty Ltd</w:t>
      </w:r>
      <w:r w:rsidRPr="00DB3CB8">
        <w:rPr>
          <w:rFonts w:ascii="Garamond" w:hAnsi="Garamond"/>
          <w:sz w:val="24"/>
          <w:szCs w:val="24"/>
        </w:rPr>
        <w:t> (1988) 80 ALR 251.</w:t>
      </w:r>
    </w:p>
    <w:p w:rsidR="003F650B" w:rsidRPr="00DB3CB8" w:rsidRDefault="003F650B" w:rsidP="00EB3373">
      <w:pPr>
        <w:spacing w:line="360" w:lineRule="auto"/>
        <w:ind w:right="-46"/>
        <w:jc w:val="both"/>
        <w:rPr>
          <w:rFonts w:ascii="Garamond" w:hAnsi="Garamond"/>
          <w:sz w:val="24"/>
          <w:szCs w:val="24"/>
        </w:rPr>
      </w:pPr>
      <w:r w:rsidRPr="00DB3CB8">
        <w:rPr>
          <w:rFonts w:ascii="Garamond" w:hAnsi="Garamond"/>
          <w:sz w:val="24"/>
          <w:szCs w:val="24"/>
        </w:rPr>
        <w:t xml:space="preserve">For an action to receive damages </w:t>
      </w:r>
      <w:r w:rsidR="008B63E7" w:rsidRPr="00DB3CB8">
        <w:rPr>
          <w:rFonts w:ascii="Garamond" w:hAnsi="Garamond"/>
          <w:sz w:val="24"/>
          <w:szCs w:val="24"/>
        </w:rPr>
        <w:t xml:space="preserve">under </w:t>
      </w:r>
      <w:r w:rsidRPr="00DB3CB8">
        <w:rPr>
          <w:rFonts w:ascii="Garamond" w:hAnsi="Garamond"/>
          <w:sz w:val="24"/>
          <w:szCs w:val="24"/>
        </w:rPr>
        <w:t>s236 of</w:t>
      </w:r>
      <w:r w:rsidR="00DF02C3" w:rsidRPr="00DB3CB8">
        <w:rPr>
          <w:rFonts w:ascii="Garamond" w:hAnsi="Garamond"/>
          <w:sz w:val="24"/>
          <w:szCs w:val="24"/>
        </w:rPr>
        <w:t xml:space="preserve"> </w:t>
      </w:r>
      <w:r w:rsidR="00DF02C3" w:rsidRPr="00DB3CB8">
        <w:rPr>
          <w:rFonts w:ascii="Garamond" w:hAnsi="Garamond"/>
          <w:i/>
          <w:sz w:val="24"/>
          <w:szCs w:val="24"/>
        </w:rPr>
        <w:t>ACL</w:t>
      </w:r>
      <w:r w:rsidR="008B63E7" w:rsidRPr="00DB3CB8">
        <w:rPr>
          <w:rFonts w:ascii="Garamond" w:hAnsi="Garamond"/>
          <w:sz w:val="24"/>
          <w:szCs w:val="24"/>
        </w:rPr>
        <w:t xml:space="preserve"> </w:t>
      </w:r>
      <w:r w:rsidRPr="00DB3CB8">
        <w:rPr>
          <w:rFonts w:ascii="Garamond" w:hAnsi="Garamond"/>
          <w:sz w:val="24"/>
          <w:szCs w:val="24"/>
        </w:rPr>
        <w:t xml:space="preserve">it is essential to show loss or damage.  In </w:t>
      </w:r>
      <w:r w:rsidR="008B63E7" w:rsidRPr="00DB3CB8">
        <w:rPr>
          <w:rFonts w:ascii="Garamond" w:hAnsi="Garamond"/>
          <w:sz w:val="24"/>
          <w:szCs w:val="24"/>
        </w:rPr>
        <w:t>an action for a breach of the ACL</w:t>
      </w:r>
      <w:r w:rsidRPr="00DB3CB8">
        <w:rPr>
          <w:rFonts w:ascii="Garamond" w:hAnsi="Garamond"/>
          <w:sz w:val="24"/>
          <w:szCs w:val="24"/>
        </w:rPr>
        <w:t xml:space="preserve"> the plaintiff must show that he or she is in fact “worse off” as a result of the contravention – simply showing a breach of the Act is not enough.</w:t>
      </w:r>
      <w:r w:rsidRPr="00DB3CB8">
        <w:rPr>
          <w:rFonts w:ascii="Garamond" w:hAnsi="Garamond"/>
          <w:sz w:val="24"/>
          <w:szCs w:val="24"/>
          <w:vertAlign w:val="superscript"/>
        </w:rPr>
        <w:footnoteReference w:id="2"/>
      </w:r>
      <w:r w:rsidRPr="00DB3CB8">
        <w:rPr>
          <w:rFonts w:ascii="Garamond" w:hAnsi="Garamond"/>
          <w:sz w:val="24"/>
          <w:szCs w:val="24"/>
        </w:rPr>
        <w:t xml:space="preserve"> In </w:t>
      </w:r>
      <w:r w:rsidRPr="00DB3CB8">
        <w:rPr>
          <w:rFonts w:ascii="Garamond" w:hAnsi="Garamond"/>
          <w:i/>
          <w:sz w:val="24"/>
          <w:szCs w:val="24"/>
        </w:rPr>
        <w:t xml:space="preserve">Marks v </w:t>
      </w:r>
      <w:r w:rsidRPr="00DB3CB8">
        <w:rPr>
          <w:rFonts w:ascii="Garamond" w:hAnsi="Garamond"/>
          <w:i/>
          <w:sz w:val="24"/>
          <w:szCs w:val="24"/>
        </w:rPr>
        <w:lastRenderedPageBreak/>
        <w:t xml:space="preserve">GIO Australia Holdings Pty, </w:t>
      </w:r>
      <w:r w:rsidRPr="00DB3CB8">
        <w:rPr>
          <w:rFonts w:ascii="Garamond" w:hAnsi="Garamond"/>
          <w:sz w:val="24"/>
          <w:szCs w:val="24"/>
        </w:rPr>
        <w:t xml:space="preserve">despite GIO conceding a breach of s 52, </w:t>
      </w:r>
      <w:r w:rsidR="00C3059A" w:rsidRPr="00DB3CB8">
        <w:rPr>
          <w:rFonts w:ascii="Garamond" w:hAnsi="Garamond"/>
          <w:sz w:val="24"/>
          <w:szCs w:val="24"/>
        </w:rPr>
        <w:t xml:space="preserve">the High Court held </w:t>
      </w:r>
      <w:r w:rsidRPr="00DB3CB8">
        <w:rPr>
          <w:rFonts w:ascii="Garamond" w:hAnsi="Garamond"/>
          <w:sz w:val="24"/>
          <w:szCs w:val="24"/>
        </w:rPr>
        <w:t>the appellants could not demonstrate that they were “worse off” as a result of the contravention.</w:t>
      </w:r>
      <w:r w:rsidRPr="00DB3CB8">
        <w:rPr>
          <w:rFonts w:ascii="Garamond" w:hAnsi="Garamond"/>
          <w:sz w:val="24"/>
          <w:szCs w:val="24"/>
          <w:vertAlign w:val="superscript"/>
        </w:rPr>
        <w:footnoteReference w:id="3"/>
      </w:r>
      <w:r w:rsidRPr="00DB3CB8">
        <w:rPr>
          <w:rFonts w:ascii="Garamond" w:hAnsi="Garamond"/>
          <w:sz w:val="24"/>
          <w:szCs w:val="24"/>
        </w:rPr>
        <w:t xml:space="preserve">  Therefore they could not recover under the Act.</w:t>
      </w:r>
      <w:r w:rsidR="008B63E7" w:rsidRPr="00DB3CB8">
        <w:rPr>
          <w:rFonts w:ascii="Garamond" w:hAnsi="Garamond"/>
          <w:sz w:val="24"/>
          <w:szCs w:val="24"/>
        </w:rPr>
        <w:t xml:space="preserve">  Section 236 is purely about compensation.  </w:t>
      </w:r>
      <w:r w:rsidR="00C3059A" w:rsidRPr="00DB3CB8">
        <w:rPr>
          <w:rFonts w:ascii="Garamond" w:hAnsi="Garamond"/>
          <w:i/>
          <w:sz w:val="24"/>
          <w:szCs w:val="24"/>
        </w:rPr>
        <w:t>Marks</w:t>
      </w:r>
      <w:r w:rsidR="00C3059A" w:rsidRPr="00DB3CB8">
        <w:rPr>
          <w:rFonts w:ascii="Garamond" w:hAnsi="Garamond"/>
          <w:sz w:val="24"/>
          <w:szCs w:val="24"/>
        </w:rPr>
        <w:t xml:space="preserve"> has not been attack</w:t>
      </w:r>
      <w:r w:rsidR="00E612AB" w:rsidRPr="00DB3CB8">
        <w:rPr>
          <w:rFonts w:ascii="Garamond" w:hAnsi="Garamond"/>
          <w:sz w:val="24"/>
          <w:szCs w:val="24"/>
        </w:rPr>
        <w:t>ed</w:t>
      </w:r>
      <w:r w:rsidR="00C3059A" w:rsidRPr="00DB3CB8">
        <w:rPr>
          <w:rFonts w:ascii="Garamond" w:hAnsi="Garamond"/>
          <w:sz w:val="24"/>
          <w:szCs w:val="24"/>
        </w:rPr>
        <w:t xml:space="preserve"> in the subsequent years.  Basically for </w:t>
      </w:r>
      <w:r w:rsidR="0047536D" w:rsidRPr="00DB3CB8">
        <w:rPr>
          <w:rFonts w:ascii="Garamond" w:hAnsi="Garamond"/>
          <w:sz w:val="24"/>
          <w:szCs w:val="24"/>
        </w:rPr>
        <w:t xml:space="preserve">the </w:t>
      </w:r>
      <w:r w:rsidR="00C3059A" w:rsidRPr="00DB3CB8">
        <w:rPr>
          <w:rFonts w:ascii="Garamond" w:hAnsi="Garamond"/>
          <w:sz w:val="24"/>
          <w:szCs w:val="24"/>
        </w:rPr>
        <w:t>ACL n</w:t>
      </w:r>
      <w:r w:rsidR="008B63E7" w:rsidRPr="00DB3CB8">
        <w:rPr>
          <w:rFonts w:ascii="Garamond" w:hAnsi="Garamond"/>
          <w:sz w:val="24"/>
          <w:szCs w:val="24"/>
        </w:rPr>
        <w:t xml:space="preserve">o loss, no </w:t>
      </w:r>
      <w:r w:rsidR="00030147" w:rsidRPr="00DB3CB8">
        <w:rPr>
          <w:rFonts w:ascii="Garamond" w:hAnsi="Garamond"/>
          <w:sz w:val="24"/>
          <w:szCs w:val="24"/>
        </w:rPr>
        <w:t xml:space="preserve">private action and therefore no </w:t>
      </w:r>
      <w:r w:rsidR="00C3059A" w:rsidRPr="00DB3CB8">
        <w:rPr>
          <w:rFonts w:ascii="Garamond" w:hAnsi="Garamond"/>
          <w:sz w:val="24"/>
          <w:szCs w:val="24"/>
        </w:rPr>
        <w:t xml:space="preserve">private </w:t>
      </w:r>
      <w:r w:rsidR="008B63E7" w:rsidRPr="00DB3CB8">
        <w:rPr>
          <w:rFonts w:ascii="Garamond" w:hAnsi="Garamond"/>
          <w:sz w:val="24"/>
          <w:szCs w:val="24"/>
        </w:rPr>
        <w:t xml:space="preserve">enforcement.  </w:t>
      </w:r>
      <w:r w:rsidR="00C3059A" w:rsidRPr="00DB3CB8">
        <w:rPr>
          <w:rFonts w:ascii="Garamond" w:hAnsi="Garamond"/>
          <w:sz w:val="24"/>
          <w:szCs w:val="24"/>
        </w:rPr>
        <w:t xml:space="preserve">Making ACL damages purely about compensation has greatly limited the deterrence aspect of private actions.  </w:t>
      </w:r>
    </w:p>
    <w:p w:rsidR="000573F6" w:rsidRPr="00DB3CB8" w:rsidRDefault="000573F6" w:rsidP="00EB3373">
      <w:pPr>
        <w:spacing w:line="360" w:lineRule="auto"/>
        <w:ind w:right="-46"/>
        <w:jc w:val="both"/>
        <w:rPr>
          <w:rFonts w:ascii="Garamond" w:hAnsi="Garamond"/>
          <w:sz w:val="24"/>
          <w:szCs w:val="24"/>
        </w:rPr>
      </w:pPr>
    </w:p>
    <w:p w:rsidR="000573F6" w:rsidRPr="00DB3CB8" w:rsidRDefault="00EB3373" w:rsidP="00EB3373">
      <w:pPr>
        <w:spacing w:line="360" w:lineRule="auto"/>
        <w:ind w:right="-46" w:firstLine="720"/>
        <w:jc w:val="both"/>
        <w:rPr>
          <w:rFonts w:ascii="Garamond" w:hAnsi="Garamond"/>
          <w:sz w:val="24"/>
          <w:szCs w:val="24"/>
        </w:rPr>
      </w:pPr>
      <w:r>
        <w:rPr>
          <w:rFonts w:ascii="Garamond" w:hAnsi="Garamond"/>
          <w:sz w:val="24"/>
          <w:szCs w:val="24"/>
        </w:rPr>
        <w:t xml:space="preserve">4. </w:t>
      </w:r>
      <w:r w:rsidR="000573F6" w:rsidRPr="00DB3CB8">
        <w:rPr>
          <w:rFonts w:ascii="Garamond" w:hAnsi="Garamond"/>
          <w:sz w:val="24"/>
          <w:szCs w:val="24"/>
        </w:rPr>
        <w:t>The Example of Torts</w:t>
      </w:r>
    </w:p>
    <w:p w:rsidR="00030147" w:rsidRPr="00DB3CB8" w:rsidRDefault="000573F6" w:rsidP="00EB3373">
      <w:pPr>
        <w:pStyle w:val="Default"/>
        <w:spacing w:line="360" w:lineRule="auto"/>
        <w:jc w:val="both"/>
        <w:rPr>
          <w:rFonts w:ascii="Garamond" w:hAnsi="Garamond"/>
          <w:bCs/>
          <w:color w:val="auto"/>
        </w:rPr>
      </w:pPr>
      <w:r w:rsidRPr="00DB3CB8">
        <w:rPr>
          <w:rFonts w:ascii="Garamond" w:hAnsi="Garamond"/>
        </w:rPr>
        <w:t xml:space="preserve">Section 18 (previously s 52) has been recognised as having a strong resemblance to a tort.  This is particularly true of </w:t>
      </w:r>
      <w:r w:rsidRPr="00DB3CB8">
        <w:rPr>
          <w:rFonts w:ascii="Garamond" w:hAnsi="Garamond"/>
          <w:i/>
        </w:rPr>
        <w:t>ACL</w:t>
      </w:r>
      <w:r w:rsidRPr="00DB3CB8">
        <w:rPr>
          <w:rFonts w:ascii="Garamond" w:hAnsi="Garamond"/>
        </w:rPr>
        <w:t xml:space="preserve"> dam</w:t>
      </w:r>
      <w:r w:rsidR="00030147" w:rsidRPr="00DB3CB8">
        <w:rPr>
          <w:rFonts w:ascii="Garamond" w:hAnsi="Garamond"/>
        </w:rPr>
        <w:t>ages, it closely resembles torti</w:t>
      </w:r>
      <w:r w:rsidRPr="00DB3CB8">
        <w:rPr>
          <w:rFonts w:ascii="Garamond" w:hAnsi="Garamond"/>
        </w:rPr>
        <w:t>ou</w:t>
      </w:r>
      <w:r w:rsidR="00E612AB" w:rsidRPr="00DB3CB8">
        <w:rPr>
          <w:rFonts w:ascii="Garamond" w:hAnsi="Garamond"/>
        </w:rPr>
        <w:t xml:space="preserve">s damages (as both varieties award </w:t>
      </w:r>
      <w:r w:rsidRPr="00DB3CB8">
        <w:rPr>
          <w:rFonts w:ascii="Garamond" w:hAnsi="Garamond"/>
        </w:rPr>
        <w:t xml:space="preserve">reliance damages).  Most damages in torts are about compensation.  But not all.  </w:t>
      </w:r>
      <w:r w:rsidR="0019783E" w:rsidRPr="00DB3CB8">
        <w:rPr>
          <w:rFonts w:ascii="Garamond" w:hAnsi="Garamond"/>
          <w:bCs/>
          <w:color w:val="auto"/>
        </w:rPr>
        <w:t>There appears to be a perfect equation between loss and tortious damages.  It is frequently asserted that loss equals damages in torts.  This is put as a generalisation but it is extremely dangerous. Largely thanks to the tort of negligence, loss is the dominant concept with damages in torts.</w:t>
      </w:r>
      <w:r w:rsidR="0019783E" w:rsidRPr="00DB3CB8">
        <w:rPr>
          <w:rStyle w:val="FootnoteReference"/>
          <w:rFonts w:ascii="Garamond" w:hAnsi="Garamond"/>
          <w:bCs/>
          <w:color w:val="auto"/>
        </w:rPr>
        <w:footnoteReference w:id="4"/>
      </w:r>
      <w:r w:rsidR="0019783E" w:rsidRPr="00DB3CB8">
        <w:rPr>
          <w:rFonts w:ascii="Garamond" w:hAnsi="Garamond"/>
          <w:bCs/>
          <w:color w:val="auto"/>
        </w:rPr>
        <w:t xml:space="preserve">  But dominance does not mean exclusivity.  Loss is not the exclusive concept with damages in torts.</w:t>
      </w:r>
      <w:r w:rsidR="0019783E" w:rsidRPr="00DB3CB8">
        <w:rPr>
          <w:rStyle w:val="FootnoteReference"/>
          <w:rFonts w:ascii="Garamond" w:hAnsi="Garamond"/>
          <w:bCs/>
          <w:color w:val="auto"/>
        </w:rPr>
        <w:footnoteReference w:id="5"/>
      </w:r>
      <w:r w:rsidR="0019783E" w:rsidRPr="00DB3CB8">
        <w:rPr>
          <w:rFonts w:ascii="Garamond" w:hAnsi="Garamond"/>
          <w:bCs/>
          <w:color w:val="auto"/>
        </w:rPr>
        <w:t xml:space="preserve">  </w:t>
      </w:r>
      <w:r w:rsidR="00030147" w:rsidRPr="00DB3CB8">
        <w:rPr>
          <w:rFonts w:ascii="Garamond" w:hAnsi="Garamond"/>
          <w:bCs/>
          <w:color w:val="auto"/>
        </w:rPr>
        <w:t>But with private actions for breach of the ACL</w:t>
      </w:r>
      <w:r w:rsidR="00DF02C3" w:rsidRPr="00DB3CB8">
        <w:rPr>
          <w:rFonts w:ascii="Garamond" w:hAnsi="Garamond"/>
          <w:bCs/>
          <w:color w:val="auto"/>
        </w:rPr>
        <w:t>,</w:t>
      </w:r>
      <w:r w:rsidR="00030147" w:rsidRPr="00DB3CB8">
        <w:rPr>
          <w:rFonts w:ascii="Garamond" w:hAnsi="Garamond"/>
          <w:bCs/>
          <w:color w:val="auto"/>
        </w:rPr>
        <w:t xml:space="preserve"> loss is the exclusive concept.  </w:t>
      </w:r>
    </w:p>
    <w:p w:rsidR="00030147" w:rsidRPr="00DB3CB8" w:rsidRDefault="00030147" w:rsidP="00EB3373">
      <w:pPr>
        <w:pStyle w:val="Default"/>
        <w:spacing w:line="360" w:lineRule="auto"/>
        <w:jc w:val="both"/>
        <w:rPr>
          <w:rFonts w:ascii="Garamond" w:hAnsi="Garamond"/>
          <w:bCs/>
          <w:color w:val="auto"/>
        </w:rPr>
      </w:pPr>
    </w:p>
    <w:p w:rsidR="0019783E" w:rsidRPr="00DB3CB8" w:rsidRDefault="0019783E" w:rsidP="00EB3373">
      <w:pPr>
        <w:pStyle w:val="Default"/>
        <w:spacing w:line="360" w:lineRule="auto"/>
        <w:jc w:val="both"/>
        <w:rPr>
          <w:rFonts w:ascii="Garamond" w:hAnsi="Garamond"/>
          <w:bCs/>
          <w:color w:val="auto"/>
        </w:rPr>
      </w:pPr>
      <w:r w:rsidRPr="00DB3CB8">
        <w:rPr>
          <w:rFonts w:ascii="Garamond" w:hAnsi="Garamond"/>
          <w:bCs/>
          <w:color w:val="auto"/>
        </w:rPr>
        <w:t>Some damages awarded in torts are not based on loss, for example punitive (or exemplary) damages</w:t>
      </w:r>
      <w:r w:rsidR="001C319C">
        <w:rPr>
          <w:rFonts w:ascii="Garamond" w:hAnsi="Garamond"/>
          <w:bCs/>
          <w:color w:val="auto"/>
        </w:rPr>
        <w:t xml:space="preserve">, liquated damages, </w:t>
      </w:r>
      <w:r w:rsidR="001C319C" w:rsidRPr="001C319C">
        <w:rPr>
          <w:rFonts w:ascii="Garamond" w:hAnsi="Garamond"/>
          <w:bCs/>
          <w:color w:val="auto"/>
        </w:rPr>
        <w:t>contemptuous damages</w:t>
      </w:r>
      <w:r w:rsidRPr="00DB3CB8">
        <w:rPr>
          <w:rFonts w:ascii="Garamond" w:hAnsi="Garamond"/>
          <w:bCs/>
          <w:color w:val="auto"/>
        </w:rPr>
        <w:t xml:space="preserve"> and nominal damages.  Further, some torts are not based on loss at all.  They are called torts actionable per se, in which tortious damages can be awarded although there may be no loss.  This can be seen in Windeyer J’s judgment in </w:t>
      </w:r>
      <w:r w:rsidRPr="00DB3CB8">
        <w:rPr>
          <w:rFonts w:ascii="Garamond" w:hAnsi="Garamond" w:cs="Arial"/>
          <w:i/>
        </w:rPr>
        <w:t>Uren v John Fairfax &amp; Sons Pty Ltd,</w:t>
      </w:r>
      <w:r w:rsidRPr="00DB3CB8">
        <w:rPr>
          <w:rStyle w:val="FootnoteReference"/>
          <w:rFonts w:ascii="Garamond" w:hAnsi="Garamond" w:cs="Arial"/>
        </w:rPr>
        <w:footnoteReference w:id="6"/>
      </w:r>
      <w:r w:rsidRPr="00DB3CB8">
        <w:rPr>
          <w:rFonts w:ascii="Garamond" w:hAnsi="Garamond"/>
          <w:bCs/>
          <w:color w:val="auto"/>
        </w:rPr>
        <w:t xml:space="preserve"> a case involving defamation which is a tort actionable per se.   His Honour held:</w:t>
      </w:r>
      <w:r w:rsidRPr="00DB3CB8">
        <w:rPr>
          <w:rStyle w:val="FootnoteReference"/>
          <w:rFonts w:ascii="Garamond" w:hAnsi="Garamond"/>
          <w:bCs/>
          <w:color w:val="auto"/>
        </w:rPr>
        <w:footnoteReference w:id="7"/>
      </w:r>
      <w:r w:rsidRPr="00DB3CB8">
        <w:rPr>
          <w:rFonts w:ascii="Garamond" w:hAnsi="Garamond"/>
          <w:bCs/>
          <w:color w:val="auto"/>
        </w:rPr>
        <w:t xml:space="preserve"> </w:t>
      </w:r>
    </w:p>
    <w:p w:rsidR="0019783E" w:rsidRPr="00DB3CB8" w:rsidRDefault="0019783E" w:rsidP="00EB3373">
      <w:pPr>
        <w:pStyle w:val="Default"/>
        <w:spacing w:line="360" w:lineRule="auto"/>
        <w:ind w:left="709" w:right="702"/>
        <w:jc w:val="both"/>
        <w:rPr>
          <w:rFonts w:ascii="Garamond" w:hAnsi="Garamond"/>
          <w:bCs/>
          <w:color w:val="auto"/>
        </w:rPr>
      </w:pPr>
      <w:r w:rsidRPr="00DB3CB8">
        <w:rPr>
          <w:rFonts w:ascii="Garamond" w:hAnsi="Garamond" w:cs="Arial"/>
        </w:rPr>
        <w:t xml:space="preserve">He gets damages because he was injured in his reputation, that is simply because he was publicly defamed. For this reason, compensation by damages operates in two ways – as a vindication of the plaintiff to the public and as consolation to </w:t>
      </w:r>
      <w:r w:rsidRPr="00DB3CB8">
        <w:rPr>
          <w:rFonts w:ascii="Garamond" w:hAnsi="Garamond" w:cs="Arial"/>
        </w:rPr>
        <w:lastRenderedPageBreak/>
        <w:t>him for a wrong done. Compensation is here a solatium rather than a monetary recompense for harm measurable in money.</w:t>
      </w:r>
    </w:p>
    <w:p w:rsidR="0019783E" w:rsidRPr="00DB3CB8" w:rsidRDefault="00E97B00" w:rsidP="00EB3373">
      <w:pPr>
        <w:pStyle w:val="Default"/>
        <w:spacing w:line="360" w:lineRule="auto"/>
        <w:jc w:val="both"/>
        <w:rPr>
          <w:rFonts w:ascii="Garamond" w:hAnsi="Garamond"/>
          <w:bCs/>
          <w:color w:val="auto"/>
        </w:rPr>
      </w:pPr>
      <w:r w:rsidRPr="00DB3CB8">
        <w:rPr>
          <w:rFonts w:ascii="Garamond" w:hAnsi="Garamond"/>
          <w:bCs/>
          <w:color w:val="auto"/>
        </w:rPr>
        <w:t>I would suggest that ACL damages</w:t>
      </w:r>
      <w:r w:rsidR="00030147" w:rsidRPr="00DB3CB8">
        <w:rPr>
          <w:rFonts w:ascii="Garamond" w:hAnsi="Garamond"/>
          <w:bCs/>
          <w:color w:val="auto"/>
        </w:rPr>
        <w:t xml:space="preserve"> be modelled along the </w:t>
      </w:r>
      <w:r w:rsidRPr="00DB3CB8">
        <w:rPr>
          <w:rFonts w:ascii="Garamond" w:hAnsi="Garamond"/>
          <w:bCs/>
          <w:color w:val="auto"/>
        </w:rPr>
        <w:t xml:space="preserve">lines of </w:t>
      </w:r>
      <w:r w:rsidR="00030147" w:rsidRPr="00DB3CB8">
        <w:rPr>
          <w:rFonts w:ascii="Garamond" w:hAnsi="Garamond"/>
          <w:bCs/>
          <w:color w:val="auto"/>
        </w:rPr>
        <w:t>torts to include exemplary damages.</w:t>
      </w:r>
      <w:r w:rsidR="0019783E" w:rsidRPr="00DB3CB8">
        <w:rPr>
          <w:rFonts w:ascii="Garamond" w:hAnsi="Garamond"/>
          <w:bCs/>
          <w:color w:val="auto"/>
        </w:rPr>
        <w:t xml:space="preserve"> </w:t>
      </w:r>
      <w:r w:rsidR="0003799D">
        <w:rPr>
          <w:rFonts w:ascii="Garamond" w:hAnsi="Garamond"/>
          <w:bCs/>
          <w:color w:val="auto"/>
        </w:rPr>
        <w:t xml:space="preserve"> Therefore I’ll go into them in some detail.</w:t>
      </w:r>
    </w:p>
    <w:p w:rsidR="0019783E" w:rsidRPr="00EB3373" w:rsidRDefault="00EB3373" w:rsidP="00EB3373">
      <w:pPr>
        <w:spacing w:line="360" w:lineRule="auto"/>
        <w:ind w:right="-46" w:firstLine="720"/>
        <w:jc w:val="both"/>
        <w:rPr>
          <w:rFonts w:ascii="Garamond" w:hAnsi="Garamond"/>
          <w:sz w:val="24"/>
          <w:szCs w:val="24"/>
        </w:rPr>
      </w:pPr>
      <w:r>
        <w:rPr>
          <w:rFonts w:ascii="Garamond" w:hAnsi="Garamond"/>
          <w:sz w:val="24"/>
          <w:szCs w:val="24"/>
        </w:rPr>
        <w:t xml:space="preserve">5. </w:t>
      </w:r>
      <w:r w:rsidR="005C6841" w:rsidRPr="00EB3373">
        <w:rPr>
          <w:rFonts w:ascii="Garamond" w:hAnsi="Garamond"/>
          <w:sz w:val="24"/>
          <w:szCs w:val="24"/>
        </w:rPr>
        <w:t>Exe</w:t>
      </w:r>
      <w:r w:rsidR="0019783E" w:rsidRPr="00EB3373">
        <w:rPr>
          <w:rFonts w:ascii="Garamond" w:hAnsi="Garamond"/>
          <w:sz w:val="24"/>
          <w:szCs w:val="24"/>
        </w:rPr>
        <w:t>mplary Damages</w:t>
      </w:r>
      <w:r w:rsidR="00030147" w:rsidRPr="00EB3373">
        <w:rPr>
          <w:rFonts w:ascii="Garamond" w:hAnsi="Garamond"/>
          <w:sz w:val="24"/>
          <w:szCs w:val="24"/>
        </w:rPr>
        <w:t xml:space="preserve"> in Torts</w:t>
      </w:r>
    </w:p>
    <w:p w:rsidR="0019783E" w:rsidRPr="00DB3CB8" w:rsidRDefault="005C6841"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bCs/>
          <w:sz w:val="24"/>
          <w:szCs w:val="24"/>
        </w:rPr>
        <w:t>Exemplary</w:t>
      </w:r>
      <w:r w:rsidR="0019783E" w:rsidRPr="00DB3CB8">
        <w:rPr>
          <w:rFonts w:ascii="Garamond" w:hAnsi="Garamond" w:cs="Arial"/>
          <w:bCs/>
          <w:sz w:val="24"/>
          <w:szCs w:val="24"/>
        </w:rPr>
        <w:t xml:space="preserve"> damages are also called </w:t>
      </w:r>
      <w:r w:rsidRPr="00DB3CB8">
        <w:rPr>
          <w:rFonts w:ascii="Garamond" w:hAnsi="Garamond" w:cs="Arial"/>
          <w:bCs/>
          <w:sz w:val="24"/>
          <w:szCs w:val="24"/>
        </w:rPr>
        <w:t xml:space="preserve">punitive </w:t>
      </w:r>
      <w:r w:rsidR="0019783E" w:rsidRPr="00DB3CB8">
        <w:rPr>
          <w:rFonts w:ascii="Garamond" w:hAnsi="Garamond" w:cs="Arial"/>
          <w:bCs/>
          <w:sz w:val="24"/>
          <w:szCs w:val="24"/>
        </w:rPr>
        <w:t>damages.</w:t>
      </w:r>
      <w:r w:rsidR="0047536D" w:rsidRPr="00DB3CB8">
        <w:rPr>
          <w:rStyle w:val="FootnoteReference"/>
          <w:rFonts w:ascii="Garamond" w:hAnsi="Garamond" w:cs="Arial"/>
          <w:bCs/>
          <w:sz w:val="24"/>
          <w:szCs w:val="24"/>
        </w:rPr>
        <w:footnoteReference w:id="8"/>
      </w:r>
      <w:r w:rsidR="0019783E" w:rsidRPr="00DB3CB8">
        <w:rPr>
          <w:rFonts w:ascii="Garamond" w:hAnsi="Garamond" w:cs="Arial"/>
          <w:bCs/>
          <w:sz w:val="24"/>
          <w:szCs w:val="24"/>
        </w:rPr>
        <w:t xml:space="preserve">  These damages are not designed to compensate the plaintiff.  According to Knox CJ in </w:t>
      </w:r>
      <w:r w:rsidR="0019783E" w:rsidRPr="00DB3CB8">
        <w:rPr>
          <w:rFonts w:ascii="Garamond" w:hAnsi="Garamond" w:cs="Arial"/>
          <w:i/>
          <w:iCs/>
          <w:sz w:val="24"/>
          <w:szCs w:val="24"/>
        </w:rPr>
        <w:t>Whitfield v De Lauret &amp; Co Ltd</w:t>
      </w:r>
      <w:r w:rsidR="0019783E" w:rsidRPr="00DB3CB8">
        <w:rPr>
          <w:rStyle w:val="FootnoteReference"/>
          <w:rFonts w:ascii="Garamond" w:hAnsi="Garamond" w:cs="Arial"/>
          <w:iCs/>
          <w:sz w:val="24"/>
          <w:szCs w:val="24"/>
        </w:rPr>
        <w:footnoteReference w:id="9"/>
      </w:r>
      <w:r w:rsidR="0019783E" w:rsidRPr="00DB3CB8">
        <w:rPr>
          <w:rFonts w:ascii="Garamond" w:hAnsi="Garamond" w:cs="Arial"/>
          <w:sz w:val="24"/>
          <w:szCs w:val="24"/>
        </w:rPr>
        <w:t xml:space="preserve"> e</w:t>
      </w:r>
      <w:r w:rsidR="0019783E" w:rsidRPr="00DB3CB8">
        <w:rPr>
          <w:rFonts w:ascii="Garamond" w:hAnsi="Garamond" w:cs="Arial"/>
          <w:bCs/>
          <w:sz w:val="24"/>
          <w:szCs w:val="24"/>
        </w:rPr>
        <w:t>xemplary (or punitive) damages are intended to punish the defendant for “conscious wrongdoing in contumelious disregard of another’s rights”.</w:t>
      </w:r>
      <w:bookmarkStart w:id="1" w:name="fn_src_33.10.200_1"/>
      <w:bookmarkEnd w:id="1"/>
      <w:r w:rsidR="0019783E" w:rsidRPr="00DB3CB8">
        <w:rPr>
          <w:rFonts w:ascii="Garamond" w:hAnsi="Garamond" w:cs="Arial"/>
          <w:b/>
          <w:bCs/>
          <w:sz w:val="24"/>
          <w:szCs w:val="24"/>
        </w:rPr>
        <w:t xml:space="preserve"> </w:t>
      </w:r>
      <w:r w:rsidR="0019783E" w:rsidRPr="00DB3CB8">
        <w:rPr>
          <w:rFonts w:ascii="Garamond" w:hAnsi="Garamond" w:cs="Arial"/>
          <w:sz w:val="24"/>
          <w:szCs w:val="24"/>
        </w:rPr>
        <w:t xml:space="preserve">Other words describing the behaviour are “wilful”, “outrageous”, “high-handed”, “reprehensible”, “wanton”, “oppressive”, “insulting”, “cruel”, “malicious” and “reckless”. The operation of exemplary damages is well illustrated by </w:t>
      </w:r>
      <w:r w:rsidR="0019783E" w:rsidRPr="00DB3CB8">
        <w:rPr>
          <w:rFonts w:ascii="Garamond" w:hAnsi="Garamond" w:cs="Arial"/>
          <w:i/>
          <w:iCs/>
          <w:sz w:val="24"/>
          <w:szCs w:val="24"/>
        </w:rPr>
        <w:t>XL Petroleum (NSW) Pty Ltd v Caltex Oil (Aust) Pty Ltd.</w:t>
      </w:r>
      <w:r w:rsidR="0019783E" w:rsidRPr="00DB3CB8">
        <w:rPr>
          <w:rStyle w:val="FootnoteReference"/>
          <w:rFonts w:ascii="Garamond" w:hAnsi="Garamond" w:cs="Arial"/>
          <w:iCs/>
          <w:sz w:val="24"/>
          <w:szCs w:val="24"/>
        </w:rPr>
        <w:footnoteReference w:id="10"/>
      </w:r>
      <w:r w:rsidR="0019783E" w:rsidRPr="00DB3CB8">
        <w:rPr>
          <w:rFonts w:ascii="Garamond" w:hAnsi="Garamond" w:cs="Arial"/>
          <w:sz w:val="24"/>
          <w:szCs w:val="24"/>
        </w:rPr>
        <w:t xml:space="preserve">  Essentially the case involved an act of commercial vandalism committed by a large company against a small trade competitor. The activity involved the introduction of impurities into the plaintiff’s petrol tanks. At trial, in addition to relatively small compensatory damages, the jury awarded $400,000 exemplary damages. Both the Court of Appeal and the High Court agreed that exemplary damages should be reduced to $150,000. Interestingly, in their dissenting judgments on this issue, both Murphy J</w:t>
      </w:r>
      <w:r w:rsidR="0019783E" w:rsidRPr="00DB3CB8">
        <w:rPr>
          <w:rStyle w:val="FootnoteReference"/>
          <w:rFonts w:ascii="Garamond" w:hAnsi="Garamond" w:cs="Arial"/>
          <w:sz w:val="24"/>
          <w:szCs w:val="24"/>
        </w:rPr>
        <w:footnoteReference w:id="11"/>
      </w:r>
      <w:r w:rsidR="0019783E" w:rsidRPr="00DB3CB8">
        <w:rPr>
          <w:rFonts w:ascii="Garamond" w:hAnsi="Garamond" w:cs="Arial"/>
          <w:sz w:val="24"/>
          <w:szCs w:val="24"/>
        </w:rPr>
        <w:t>and Brennan J</w:t>
      </w:r>
      <w:r w:rsidR="0019783E" w:rsidRPr="00DB3CB8">
        <w:rPr>
          <w:rStyle w:val="FootnoteReference"/>
          <w:rFonts w:ascii="Garamond" w:hAnsi="Garamond" w:cs="Arial"/>
          <w:sz w:val="24"/>
          <w:szCs w:val="24"/>
        </w:rPr>
        <w:footnoteReference w:id="12"/>
      </w:r>
      <w:r w:rsidR="0019783E" w:rsidRPr="00DB3CB8">
        <w:rPr>
          <w:rFonts w:ascii="Garamond" w:hAnsi="Garamond" w:cs="Arial"/>
          <w:sz w:val="24"/>
          <w:szCs w:val="24"/>
        </w:rPr>
        <w:t xml:space="preserve"> shared the view that the original award was reasonable. </w:t>
      </w: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sz w:val="24"/>
          <w:szCs w:val="24"/>
        </w:rPr>
        <w:t xml:space="preserve">According to the High Court in </w:t>
      </w:r>
      <w:r w:rsidRPr="00DB3CB8">
        <w:rPr>
          <w:rFonts w:ascii="Garamond" w:hAnsi="Garamond" w:cs="Arial"/>
          <w:i/>
          <w:iCs/>
          <w:sz w:val="24"/>
          <w:szCs w:val="24"/>
        </w:rPr>
        <w:t>Lamb v Cotogno</w:t>
      </w:r>
      <w:r w:rsidRPr="00DB3CB8">
        <w:rPr>
          <w:rStyle w:val="FootnoteReference"/>
          <w:rFonts w:ascii="Garamond" w:hAnsi="Garamond" w:cs="Arial"/>
          <w:iCs/>
          <w:sz w:val="24"/>
          <w:szCs w:val="24"/>
        </w:rPr>
        <w:footnoteReference w:id="13"/>
      </w:r>
      <w:r w:rsidRPr="00DB3CB8">
        <w:rPr>
          <w:rFonts w:ascii="Garamond" w:hAnsi="Garamond" w:cs="Arial"/>
          <w:sz w:val="24"/>
          <w:szCs w:val="24"/>
        </w:rPr>
        <w:t xml:space="preserve"> actual malice by the defendant is not required to be established.</w:t>
      </w:r>
      <w:bookmarkStart w:id="2" w:name="fn_src_33.10.200_3"/>
      <w:bookmarkEnd w:id="2"/>
      <w:r w:rsidRPr="00DB3CB8">
        <w:rPr>
          <w:rFonts w:ascii="Garamond" w:hAnsi="Garamond" w:cs="Arial"/>
          <w:sz w:val="24"/>
          <w:szCs w:val="24"/>
        </w:rPr>
        <w:t xml:space="preserve"> </w:t>
      </w: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p>
    <w:p w:rsidR="0019783E" w:rsidRPr="00DB3CB8" w:rsidRDefault="00C8281A"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sz w:val="24"/>
          <w:szCs w:val="24"/>
        </w:rPr>
        <w:t>Very importantly, i</w:t>
      </w:r>
      <w:r w:rsidR="0019783E" w:rsidRPr="00DB3CB8">
        <w:rPr>
          <w:rFonts w:ascii="Garamond" w:hAnsi="Garamond" w:cs="Arial"/>
          <w:sz w:val="24"/>
          <w:szCs w:val="24"/>
        </w:rPr>
        <w:t xml:space="preserve">n </w:t>
      </w:r>
      <w:r w:rsidR="0019783E" w:rsidRPr="00DB3CB8">
        <w:rPr>
          <w:rFonts w:ascii="Garamond" w:hAnsi="Garamond" w:cs="Arial"/>
          <w:i/>
          <w:iCs/>
          <w:sz w:val="24"/>
          <w:szCs w:val="24"/>
        </w:rPr>
        <w:t>Uren v John Fairfax &amp; Sons Pty Ltd</w:t>
      </w:r>
      <w:r w:rsidR="0019783E" w:rsidRPr="00DB3CB8">
        <w:rPr>
          <w:rStyle w:val="FootnoteReference"/>
          <w:rFonts w:ascii="Garamond" w:hAnsi="Garamond" w:cs="Arial"/>
          <w:iCs/>
          <w:sz w:val="24"/>
          <w:szCs w:val="24"/>
        </w:rPr>
        <w:footnoteReference w:id="14"/>
      </w:r>
      <w:r w:rsidR="0019783E" w:rsidRPr="00DB3CB8">
        <w:rPr>
          <w:rFonts w:ascii="Garamond" w:hAnsi="Garamond" w:cs="Arial"/>
          <w:sz w:val="24"/>
          <w:szCs w:val="24"/>
        </w:rPr>
        <w:t xml:space="preserve"> the High Court refused to follow the tight limitations placed upon the award of exemplary damages by the House of Lords in </w:t>
      </w:r>
      <w:r w:rsidR="0019783E" w:rsidRPr="00DB3CB8">
        <w:rPr>
          <w:rFonts w:ascii="Garamond" w:hAnsi="Garamond" w:cs="Arial"/>
          <w:i/>
          <w:iCs/>
          <w:sz w:val="24"/>
          <w:szCs w:val="24"/>
        </w:rPr>
        <w:t>Rookes v Barnard</w:t>
      </w:r>
      <w:r w:rsidR="0019783E" w:rsidRPr="00DB3CB8">
        <w:rPr>
          <w:rFonts w:ascii="Garamond" w:hAnsi="Garamond" w:cs="Arial"/>
          <w:iCs/>
          <w:sz w:val="24"/>
          <w:szCs w:val="24"/>
        </w:rPr>
        <w:t>.</w:t>
      </w:r>
      <w:r w:rsidR="0019783E" w:rsidRPr="00DB3CB8">
        <w:rPr>
          <w:rStyle w:val="FootnoteReference"/>
          <w:rFonts w:ascii="Garamond" w:hAnsi="Garamond" w:cs="Arial"/>
          <w:sz w:val="24"/>
          <w:szCs w:val="24"/>
        </w:rPr>
        <w:footnoteReference w:id="15"/>
      </w:r>
      <w:r w:rsidR="0019783E" w:rsidRPr="00DB3CB8">
        <w:rPr>
          <w:rFonts w:ascii="Garamond" w:hAnsi="Garamond" w:cs="Arial"/>
          <w:sz w:val="24"/>
          <w:szCs w:val="24"/>
        </w:rPr>
        <w:t xml:space="preserve"> </w:t>
      </w: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p>
    <w:p w:rsidR="0019783E" w:rsidRPr="00DB3CB8" w:rsidRDefault="007E4F32"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sz w:val="24"/>
          <w:szCs w:val="24"/>
        </w:rPr>
        <w:lastRenderedPageBreak/>
        <w:t>As noted previously, t</w:t>
      </w:r>
      <w:r w:rsidR="0019783E" w:rsidRPr="00DB3CB8">
        <w:rPr>
          <w:rFonts w:ascii="Garamond" w:hAnsi="Garamond" w:cs="Arial"/>
          <w:sz w:val="24"/>
          <w:szCs w:val="24"/>
        </w:rPr>
        <w:t>he primary purpose of exemplary damages is to punish the defendant.  But other purposes can be served.  According to Owen J such damages can be awarded to demonstrate the court’s disapproval of the conduct and to deter the defendant and others from similar behaviour</w:t>
      </w:r>
      <w:bookmarkStart w:id="3" w:name="fn_src_33.10.200_4"/>
      <w:bookmarkEnd w:id="3"/>
      <w:r w:rsidR="0019783E" w:rsidRPr="00DB3CB8">
        <w:rPr>
          <w:rFonts w:ascii="Garamond" w:hAnsi="Garamond" w:cs="Arial"/>
          <w:sz w:val="24"/>
          <w:szCs w:val="24"/>
        </w:rPr>
        <w:t>.</w:t>
      </w:r>
      <w:r w:rsidR="0019783E" w:rsidRPr="00DB3CB8">
        <w:rPr>
          <w:rStyle w:val="FootnoteReference"/>
          <w:rFonts w:ascii="Garamond" w:hAnsi="Garamond" w:cs="Arial"/>
          <w:sz w:val="24"/>
          <w:szCs w:val="24"/>
        </w:rPr>
        <w:footnoteReference w:id="16"/>
      </w:r>
      <w:r w:rsidR="0019783E" w:rsidRPr="00DB3CB8">
        <w:rPr>
          <w:rFonts w:ascii="Garamond" w:hAnsi="Garamond" w:cs="Arial"/>
          <w:sz w:val="24"/>
          <w:szCs w:val="24"/>
        </w:rPr>
        <w:t xml:space="preserve">  </w:t>
      </w: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right="120"/>
        <w:jc w:val="both"/>
        <w:rPr>
          <w:rFonts w:ascii="Garamond" w:hAnsi="Garamond" w:cs="Arial"/>
          <w:sz w:val="24"/>
          <w:szCs w:val="24"/>
        </w:rPr>
      </w:pPr>
      <w:r w:rsidRPr="00DB3CB8">
        <w:rPr>
          <w:rFonts w:ascii="Garamond" w:hAnsi="Garamond" w:cs="Arial"/>
          <w:sz w:val="24"/>
          <w:szCs w:val="24"/>
        </w:rPr>
        <w:t xml:space="preserve">According to Brennan J in </w:t>
      </w:r>
      <w:r w:rsidRPr="00DB3CB8">
        <w:rPr>
          <w:rFonts w:ascii="Garamond" w:hAnsi="Garamond" w:cs="Arial"/>
          <w:i/>
          <w:iCs/>
          <w:sz w:val="24"/>
          <w:szCs w:val="24"/>
        </w:rPr>
        <w:t>XL Petroleum (NSW) Pty Ltd v Caltex Oil (Aust) Pty Ltd</w:t>
      </w:r>
      <w:r w:rsidRPr="00DB3CB8">
        <w:rPr>
          <w:rStyle w:val="FootnoteReference"/>
          <w:rFonts w:ascii="Garamond" w:hAnsi="Garamond" w:cs="Arial"/>
          <w:iCs/>
          <w:sz w:val="24"/>
          <w:szCs w:val="24"/>
        </w:rPr>
        <w:footnoteReference w:id="17"/>
      </w:r>
      <w:r w:rsidRPr="00DB3CB8">
        <w:rPr>
          <w:rFonts w:ascii="Garamond" w:hAnsi="Garamond" w:cs="Arial"/>
          <w:i/>
          <w:iCs/>
          <w:sz w:val="24"/>
          <w:szCs w:val="24"/>
        </w:rPr>
        <w:t xml:space="preserve"> </w:t>
      </w:r>
      <w:r w:rsidRPr="00DB3CB8">
        <w:rPr>
          <w:rFonts w:ascii="Garamond" w:hAnsi="Garamond" w:cs="Arial"/>
          <w:sz w:val="24"/>
          <w:szCs w:val="24"/>
        </w:rPr>
        <w:t>exemplary damages are calculated to punish the defendant, to cause him or her to “smart”.</w:t>
      </w:r>
      <w:bookmarkStart w:id="4" w:name="fn_src_33.10.200_2"/>
      <w:bookmarkEnd w:id="4"/>
      <w:r w:rsidRPr="00DB3CB8">
        <w:rPr>
          <w:rStyle w:val="FootnoteReference"/>
          <w:rFonts w:ascii="Garamond" w:hAnsi="Garamond" w:cs="Arial"/>
          <w:sz w:val="24"/>
          <w:szCs w:val="24"/>
        </w:rPr>
        <w:footnoteReference w:id="18"/>
      </w:r>
      <w:r w:rsidRPr="00DB3CB8">
        <w:rPr>
          <w:rFonts w:ascii="Garamond" w:hAnsi="Garamond" w:cs="Arial"/>
          <w:sz w:val="24"/>
          <w:szCs w:val="24"/>
        </w:rPr>
        <w:t xml:space="preserve">   But Gibbs CJ in </w:t>
      </w:r>
      <w:r w:rsidRPr="00DB3CB8">
        <w:rPr>
          <w:rFonts w:ascii="Garamond" w:hAnsi="Garamond" w:cs="Arial"/>
          <w:i/>
          <w:iCs/>
          <w:sz w:val="24"/>
          <w:szCs w:val="24"/>
        </w:rPr>
        <w:t>XL Petroleum (NSW) Pty Ltd v Caltex Oil (Aust) Pty Ltd</w:t>
      </w:r>
      <w:r w:rsidRPr="00DB3CB8">
        <w:rPr>
          <w:rStyle w:val="FootnoteReference"/>
          <w:rFonts w:ascii="Garamond" w:hAnsi="Garamond" w:cs="Arial"/>
          <w:iCs/>
          <w:sz w:val="24"/>
          <w:szCs w:val="24"/>
        </w:rPr>
        <w:footnoteReference w:id="19"/>
      </w:r>
      <w:r w:rsidRPr="00DB3CB8">
        <w:rPr>
          <w:rFonts w:ascii="Garamond" w:hAnsi="Garamond" w:cs="Arial"/>
          <w:sz w:val="24"/>
          <w:szCs w:val="24"/>
        </w:rPr>
        <w:t xml:space="preserve"> stressed that restraint should be exercised by juries and they need to be wary of imposing a greater penalty than would be incurred if the conduct were criminal.</w:t>
      </w:r>
      <w:bookmarkStart w:id="5" w:name="fn_src_33.10.220_2"/>
      <w:bookmarkEnd w:id="5"/>
      <w:r w:rsidRPr="00DB3CB8">
        <w:rPr>
          <w:rFonts w:ascii="Garamond" w:hAnsi="Garamond" w:cs="Arial"/>
          <w:sz w:val="24"/>
          <w:szCs w:val="24"/>
        </w:rPr>
        <w:t xml:space="preserve"> Accordingly, any criminal penalties imposed in consequence of proceedings stemming from the same wrongful act must be fully taken into account</w:t>
      </w:r>
      <w:bookmarkStart w:id="6" w:name="fn_src_33.10.220_3"/>
      <w:bookmarkEnd w:id="6"/>
      <w:r w:rsidRPr="00DB3CB8">
        <w:rPr>
          <w:rFonts w:ascii="Garamond" w:hAnsi="Garamond" w:cs="Arial"/>
          <w:sz w:val="24"/>
          <w:szCs w:val="24"/>
        </w:rPr>
        <w:t xml:space="preserve">.  In </w:t>
      </w:r>
      <w:r w:rsidRPr="00DB3CB8">
        <w:rPr>
          <w:rFonts w:ascii="Garamond" w:hAnsi="Garamond" w:cs="Arial"/>
          <w:i/>
          <w:iCs/>
          <w:sz w:val="24"/>
          <w:szCs w:val="24"/>
        </w:rPr>
        <w:t>Blackwell v AAA</w:t>
      </w:r>
      <w:r w:rsidRPr="00DB3CB8">
        <w:rPr>
          <w:rStyle w:val="FootnoteReference"/>
          <w:rFonts w:ascii="Garamond" w:hAnsi="Garamond" w:cs="Arial"/>
          <w:iCs/>
          <w:sz w:val="24"/>
          <w:szCs w:val="24"/>
        </w:rPr>
        <w:footnoteReference w:id="20"/>
      </w:r>
      <w:r w:rsidRPr="00DB3CB8">
        <w:rPr>
          <w:rFonts w:ascii="Garamond" w:hAnsi="Garamond" w:cs="Arial"/>
          <w:sz w:val="24"/>
          <w:szCs w:val="24"/>
        </w:rPr>
        <w:t xml:space="preserve"> the trial judge failed to properly warn the jury about the danger of an excessive award of compensatory plus exemplary damages.  The Court of Appeal substantially reduced the damages and stressed that, for the purpose of fixing exemplary damages, both the nature of the non-exemplary damages awarded and the capacity of the defendant to pay are important considerations.  </w:t>
      </w: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right="120"/>
        <w:jc w:val="both"/>
        <w:rPr>
          <w:rFonts w:ascii="Garamond" w:hAnsi="Garamond" w:cs="Arial"/>
          <w:sz w:val="24"/>
          <w:szCs w:val="24"/>
        </w:rPr>
      </w:pP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sz w:val="24"/>
          <w:szCs w:val="24"/>
        </w:rPr>
        <w:t xml:space="preserve">It should be noted that the High Court in </w:t>
      </w:r>
      <w:r w:rsidRPr="00DB3CB8">
        <w:rPr>
          <w:rFonts w:ascii="Garamond" w:hAnsi="Garamond" w:cs="Arial"/>
          <w:i/>
          <w:iCs/>
          <w:sz w:val="24"/>
          <w:szCs w:val="24"/>
        </w:rPr>
        <w:t>Carson v John Fairfax &amp; Sons Ltd</w:t>
      </w:r>
      <w:r w:rsidRPr="00DB3CB8">
        <w:rPr>
          <w:rFonts w:ascii="Garamond" w:hAnsi="Garamond" w:cs="Arial"/>
          <w:sz w:val="24"/>
          <w:szCs w:val="24"/>
        </w:rPr>
        <w:t xml:space="preserve"> </w:t>
      </w:r>
      <w:r w:rsidRPr="00DB3CB8">
        <w:rPr>
          <w:rStyle w:val="FootnoteReference"/>
          <w:rFonts w:ascii="Garamond" w:hAnsi="Garamond" w:cs="Arial"/>
          <w:sz w:val="24"/>
          <w:szCs w:val="24"/>
        </w:rPr>
        <w:footnoteReference w:id="21"/>
      </w:r>
      <w:r w:rsidRPr="00DB3CB8">
        <w:rPr>
          <w:rFonts w:ascii="Garamond" w:hAnsi="Garamond" w:cs="Arial"/>
          <w:sz w:val="24"/>
          <w:szCs w:val="24"/>
        </w:rPr>
        <w:t xml:space="preserve"> held that an appellate court, testing the reasonableness of a defamation jury verdict, may properly compare that award against personal injury awards in order to maintain a rational scale of values.</w:t>
      </w:r>
      <w:bookmarkStart w:id="7" w:name="fn_src_33.10.220_4"/>
      <w:bookmarkEnd w:id="7"/>
      <w:r w:rsidRPr="00DB3CB8">
        <w:rPr>
          <w:rFonts w:ascii="Garamond" w:hAnsi="Garamond" w:cs="Arial"/>
          <w:sz w:val="24"/>
          <w:szCs w:val="24"/>
        </w:rPr>
        <w:t xml:space="preserve"> </w:t>
      </w: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20"/>
        <w:rPr>
          <w:rFonts w:ascii="Garamond" w:hAnsi="Garamond" w:cs="Arial"/>
          <w:sz w:val="24"/>
          <w:szCs w:val="24"/>
        </w:rPr>
      </w:pP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sz w:val="24"/>
          <w:szCs w:val="24"/>
        </w:rPr>
        <w:t xml:space="preserve">Another factor that may prevent the award of punitive damages is a successful criminal prosecution relating to the same conduct.  In </w:t>
      </w:r>
      <w:r w:rsidRPr="00DB3CB8">
        <w:rPr>
          <w:rFonts w:ascii="Garamond" w:hAnsi="Garamond" w:cs="Arial"/>
          <w:i/>
          <w:iCs/>
          <w:sz w:val="24"/>
          <w:szCs w:val="24"/>
        </w:rPr>
        <w:t>Gray v Motor Accident Commission</w:t>
      </w:r>
      <w:r w:rsidRPr="00DB3CB8">
        <w:rPr>
          <w:rStyle w:val="FootnoteReference"/>
          <w:rFonts w:ascii="Garamond" w:hAnsi="Garamond" w:cs="Arial"/>
          <w:iCs/>
          <w:sz w:val="24"/>
          <w:szCs w:val="24"/>
        </w:rPr>
        <w:footnoteReference w:id="22"/>
      </w:r>
      <w:r w:rsidRPr="00DB3CB8">
        <w:rPr>
          <w:rFonts w:ascii="Garamond" w:hAnsi="Garamond" w:cs="Arial"/>
          <w:sz w:val="24"/>
          <w:szCs w:val="24"/>
        </w:rPr>
        <w:t xml:space="preserve"> the High Court would not permit the award of punitive damages following criminal punishment of the defendant.</w:t>
      </w: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Garamond" w:hAnsi="Garamond" w:cs="Arial"/>
          <w:sz w:val="24"/>
          <w:szCs w:val="24"/>
        </w:rPr>
      </w:pPr>
    </w:p>
    <w:p w:rsidR="00827C42"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bCs/>
          <w:sz w:val="24"/>
          <w:szCs w:val="24"/>
        </w:rPr>
      </w:pPr>
      <w:r w:rsidRPr="00DB3CB8">
        <w:rPr>
          <w:rFonts w:ascii="Garamond" w:hAnsi="Garamond" w:cs="Arial"/>
          <w:bCs/>
          <w:sz w:val="24"/>
          <w:szCs w:val="24"/>
        </w:rPr>
        <w:t xml:space="preserve">Exemplary damages may be recovered in a wide range of torts, covering most torts.  </w:t>
      </w:r>
      <w:r w:rsidR="00827C42" w:rsidRPr="00DB3CB8">
        <w:rPr>
          <w:rFonts w:ascii="Garamond" w:hAnsi="Garamond" w:cs="Arial"/>
          <w:bCs/>
          <w:sz w:val="24"/>
          <w:szCs w:val="24"/>
        </w:rPr>
        <w:t>such damages are recoverable in practice in a wide variety of actions, including:</w:t>
      </w:r>
      <w:r w:rsidR="009350FA" w:rsidRPr="00DB3CB8">
        <w:rPr>
          <w:rFonts w:ascii="Garamond" w:hAnsi="Garamond" w:cs="Arial"/>
          <w:bCs/>
          <w:sz w:val="24"/>
          <w:szCs w:val="24"/>
        </w:rPr>
        <w:t xml:space="preserve"> </w:t>
      </w:r>
      <w:r w:rsidR="00827C42" w:rsidRPr="00DB3CB8">
        <w:rPr>
          <w:rFonts w:ascii="Garamond" w:hAnsi="Garamond" w:cs="Arial"/>
          <w:bCs/>
          <w:sz w:val="24"/>
          <w:szCs w:val="24"/>
        </w:rPr>
        <w:t>trespass to the person;</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trespass to land;</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trespass to chattels;</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malicious prosecution;</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abuse of process;</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conspi</w:t>
      </w:r>
      <w:r w:rsidR="009350FA" w:rsidRPr="00DB3CB8">
        <w:rPr>
          <w:rFonts w:ascii="Garamond" w:hAnsi="Garamond" w:cs="Arial"/>
          <w:bCs/>
          <w:sz w:val="24"/>
          <w:szCs w:val="24"/>
        </w:rPr>
        <w:t xml:space="preserve">racy; </w:t>
      </w:r>
      <w:r w:rsidR="00827C42" w:rsidRPr="00DB3CB8">
        <w:rPr>
          <w:rFonts w:ascii="Garamond" w:hAnsi="Garamond" w:cs="Arial"/>
          <w:bCs/>
          <w:sz w:val="24"/>
          <w:szCs w:val="24"/>
        </w:rPr>
        <w:t>inducing breach of contract;</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interference with trade or business by unlawful means;</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detinue;</w:t>
      </w:r>
      <w:r w:rsidR="009350FA" w:rsidRPr="00DB3CB8">
        <w:rPr>
          <w:rFonts w:ascii="Garamond" w:hAnsi="Garamond" w:cs="Arial"/>
          <w:bCs/>
          <w:sz w:val="24"/>
          <w:szCs w:val="24"/>
        </w:rPr>
        <w:t xml:space="preserve"> </w:t>
      </w:r>
      <w:r w:rsidR="00827C42" w:rsidRPr="00DB3CB8">
        <w:rPr>
          <w:rFonts w:ascii="Garamond" w:hAnsi="Garamond" w:cs="Arial"/>
          <w:bCs/>
          <w:sz w:val="24"/>
          <w:szCs w:val="24"/>
        </w:rPr>
        <w:t>conversion;</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deceit;</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breach of confidence;</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nuisance;</w:t>
      </w:r>
      <w:r w:rsidR="009350FA" w:rsidRPr="00DB3CB8">
        <w:rPr>
          <w:rFonts w:ascii="Garamond" w:hAnsi="Garamond" w:cs="Arial"/>
          <w:bCs/>
          <w:sz w:val="24"/>
          <w:szCs w:val="24"/>
        </w:rPr>
        <w:t xml:space="preserve"> </w:t>
      </w:r>
      <w:r w:rsidR="00827C42" w:rsidRPr="00DB3CB8">
        <w:rPr>
          <w:rFonts w:ascii="Garamond" w:hAnsi="Garamond" w:cs="Arial"/>
          <w:bCs/>
          <w:sz w:val="24"/>
          <w:szCs w:val="24"/>
        </w:rPr>
        <w:t>and</w:t>
      </w:r>
      <w:r w:rsidR="009350FA" w:rsidRPr="00DB3CB8">
        <w:rPr>
          <w:rFonts w:ascii="Garamond" w:hAnsi="Garamond" w:cs="Arial"/>
          <w:bCs/>
          <w:sz w:val="24"/>
          <w:szCs w:val="24"/>
        </w:rPr>
        <w:t xml:space="preserve"> </w:t>
      </w:r>
      <w:r w:rsidR="00827C42" w:rsidRPr="00DB3CB8">
        <w:rPr>
          <w:rFonts w:ascii="Garamond" w:hAnsi="Garamond" w:cs="Arial"/>
          <w:bCs/>
          <w:sz w:val="24"/>
          <w:szCs w:val="24"/>
        </w:rPr>
        <w:t>negligence</w:t>
      </w:r>
      <w:r w:rsidR="009350FA" w:rsidRPr="00DB3CB8">
        <w:rPr>
          <w:rFonts w:ascii="Garamond" w:hAnsi="Garamond" w:cs="Arial"/>
          <w:bCs/>
          <w:sz w:val="24"/>
          <w:szCs w:val="24"/>
          <w:vertAlign w:val="superscript"/>
        </w:rPr>
        <w:t xml:space="preserve"> </w:t>
      </w:r>
      <w:r w:rsidR="00827C42" w:rsidRPr="00DB3CB8">
        <w:rPr>
          <w:rFonts w:ascii="Garamond" w:hAnsi="Garamond" w:cs="Arial"/>
          <w:bCs/>
          <w:sz w:val="24"/>
          <w:szCs w:val="24"/>
        </w:rPr>
        <w:t>(except for personal injuries in the Northern Territory, New South Wales and Queensland).</w:t>
      </w:r>
    </w:p>
    <w:p w:rsidR="00827C42" w:rsidRPr="00DB3CB8" w:rsidRDefault="00827C42"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bCs/>
          <w:sz w:val="24"/>
          <w:szCs w:val="24"/>
        </w:rPr>
      </w:pP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bCs/>
          <w:sz w:val="24"/>
          <w:szCs w:val="24"/>
        </w:rPr>
        <w:t>However, exemplary damages cannot be awarded for certain tortious conduct.  So i</w:t>
      </w:r>
      <w:r w:rsidRPr="00DB3CB8">
        <w:rPr>
          <w:rFonts w:ascii="Garamond" w:hAnsi="Garamond" w:cs="Arial"/>
          <w:sz w:val="24"/>
          <w:szCs w:val="24"/>
        </w:rPr>
        <w:t>n motor vehicle, work-related and general personal injury claims, legislation commonly bars exemplary awards.</w:t>
      </w:r>
      <w:bookmarkStart w:id="8" w:name="fn_src_33.10.210_10"/>
      <w:bookmarkEnd w:id="8"/>
      <w:r w:rsidRPr="00DB3CB8">
        <w:rPr>
          <w:rStyle w:val="FootnoteReference"/>
          <w:rFonts w:ascii="Garamond" w:hAnsi="Garamond" w:cs="Arial"/>
          <w:sz w:val="24"/>
          <w:szCs w:val="24"/>
        </w:rPr>
        <w:footnoteReference w:id="23"/>
      </w:r>
      <w:r w:rsidRPr="00DB3CB8">
        <w:rPr>
          <w:rFonts w:ascii="Garamond" w:hAnsi="Garamond" w:cs="Arial"/>
          <w:sz w:val="24"/>
          <w:szCs w:val="24"/>
        </w:rPr>
        <w:t xml:space="preserve"> However such damages are available for “mere” negligence.</w:t>
      </w:r>
      <w:r w:rsidRPr="00DB3CB8">
        <w:rPr>
          <w:rStyle w:val="FootnoteReference"/>
          <w:rFonts w:ascii="Garamond" w:hAnsi="Garamond" w:cs="Arial"/>
          <w:sz w:val="24"/>
          <w:szCs w:val="24"/>
        </w:rPr>
        <w:footnoteReference w:id="24"/>
      </w:r>
      <w:r w:rsidRPr="00DB3CB8">
        <w:rPr>
          <w:rFonts w:ascii="Garamond" w:hAnsi="Garamond" w:cs="Arial"/>
          <w:sz w:val="24"/>
          <w:szCs w:val="24"/>
        </w:rPr>
        <w:t xml:space="preserve"> </w:t>
      </w: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rPr>
          <w:rFonts w:ascii="Garamond" w:hAnsi="Garamond" w:cs="Arial"/>
          <w:sz w:val="24"/>
          <w:szCs w:val="24"/>
        </w:rPr>
      </w:pPr>
    </w:p>
    <w:p w:rsidR="0019783E" w:rsidRPr="00DB3CB8" w:rsidRDefault="0019783E"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sz w:val="24"/>
          <w:szCs w:val="24"/>
        </w:rPr>
        <w:t xml:space="preserve">Following </w:t>
      </w:r>
      <w:r w:rsidRPr="00DB3CB8">
        <w:rPr>
          <w:rFonts w:ascii="Garamond" w:hAnsi="Garamond" w:cs="Arial"/>
          <w:i/>
          <w:iCs/>
          <w:sz w:val="24"/>
          <w:szCs w:val="24"/>
        </w:rPr>
        <w:t xml:space="preserve">Midalco Pty Ltd </w:t>
      </w:r>
      <w:r w:rsidRPr="00DB3CB8">
        <w:rPr>
          <w:rFonts w:ascii="Garamond" w:hAnsi="Garamond" w:cs="Arial"/>
          <w:sz w:val="24"/>
          <w:szCs w:val="24"/>
        </w:rPr>
        <w:t xml:space="preserve">it can no longer be said that exemplary damages are simply not available for the tort of negligence. In </w:t>
      </w:r>
      <w:r w:rsidRPr="00DB3CB8">
        <w:rPr>
          <w:rFonts w:ascii="Garamond" w:hAnsi="Garamond" w:cs="Arial"/>
          <w:i/>
          <w:iCs/>
          <w:sz w:val="24"/>
          <w:szCs w:val="24"/>
        </w:rPr>
        <w:t>Coloca v BP Australia Ltd</w:t>
      </w:r>
      <w:r w:rsidRPr="00DB3CB8">
        <w:rPr>
          <w:rStyle w:val="FootnoteReference"/>
          <w:rFonts w:ascii="Garamond" w:hAnsi="Garamond" w:cs="Arial"/>
          <w:iCs/>
          <w:sz w:val="24"/>
          <w:szCs w:val="24"/>
        </w:rPr>
        <w:footnoteReference w:id="25"/>
      </w:r>
      <w:r w:rsidRPr="00DB3CB8">
        <w:rPr>
          <w:rFonts w:ascii="Garamond" w:hAnsi="Garamond" w:cs="Arial"/>
          <w:sz w:val="24"/>
          <w:szCs w:val="24"/>
        </w:rPr>
        <w:t xml:space="preserve"> the plaintiffs (who were employees of the defendant) claimed that they had suffered personal injuries as a result of their employer’s negligence. O'Bryan J recognised that exemplary damages can be claimed for mere negligence.  His Honour held that it would be illogical to distinguish between tortious liability founded in trespass or intentional wrongdoing and tortious liability founded in negligence, where the conduct of the defendant equally merited punishment.</w:t>
      </w:r>
      <w:bookmarkStart w:id="9" w:name="fn_src_33.10.210_13"/>
      <w:bookmarkEnd w:id="9"/>
    </w:p>
    <w:p w:rsidR="006A03F8" w:rsidRPr="00DB3CB8" w:rsidRDefault="006A03F8"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p>
    <w:p w:rsidR="006A03F8" w:rsidRPr="00DB3CB8" w:rsidRDefault="006A03F8"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Garamond" w:hAnsi="Garamond" w:cs="Arial"/>
          <w:sz w:val="24"/>
          <w:szCs w:val="24"/>
        </w:rPr>
      </w:pPr>
      <w:r w:rsidRPr="00DB3CB8">
        <w:rPr>
          <w:rFonts w:ascii="Garamond" w:hAnsi="Garamond" w:cs="Arial"/>
          <w:sz w:val="24"/>
          <w:szCs w:val="24"/>
        </w:rPr>
        <w:t xml:space="preserve">Exemplary damages can also be useful even where the wrong doers do not pay these damages.  In a case involving trespassing police officers it was argued that those officers wouldn’t be paying the exemplary damages.  The entire High Court rejected this argument, by holding “The amount should also be such as to bring home to those officials of the State who are responsible </w:t>
      </w:r>
      <w:r w:rsidRPr="00DB3CB8">
        <w:rPr>
          <w:rFonts w:ascii="Garamond" w:hAnsi="Garamond" w:cs="Arial"/>
          <w:sz w:val="24"/>
          <w:szCs w:val="24"/>
        </w:rPr>
        <w:lastRenderedPageBreak/>
        <w:t>for the overseeing of the police force that police officers must be trained and disciplined so that abuses of the kind that occurred in the present case do not happen”.</w:t>
      </w:r>
      <w:r w:rsidR="00DB3CB8" w:rsidRPr="00DB3CB8">
        <w:rPr>
          <w:rStyle w:val="FootnoteReference"/>
          <w:rFonts w:ascii="Garamond" w:hAnsi="Garamond" w:cs="Arial"/>
          <w:sz w:val="24"/>
          <w:szCs w:val="24"/>
        </w:rPr>
        <w:footnoteReference w:id="26"/>
      </w:r>
    </w:p>
    <w:p w:rsidR="00722C57" w:rsidRPr="00EB3373" w:rsidRDefault="00EB3373"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02"/>
        <w:jc w:val="both"/>
        <w:rPr>
          <w:rFonts w:ascii="Garamond" w:hAnsi="Garamond"/>
          <w:sz w:val="24"/>
          <w:szCs w:val="24"/>
        </w:rPr>
      </w:pPr>
      <w:r>
        <w:rPr>
          <w:rFonts w:ascii="Garamond" w:hAnsi="Garamond"/>
          <w:sz w:val="24"/>
          <w:szCs w:val="24"/>
        </w:rPr>
        <w:tab/>
        <w:t xml:space="preserve">6. </w:t>
      </w:r>
      <w:r w:rsidR="00722C57" w:rsidRPr="00EB3373">
        <w:rPr>
          <w:rFonts w:ascii="Garamond" w:hAnsi="Garamond"/>
          <w:sz w:val="24"/>
          <w:szCs w:val="24"/>
        </w:rPr>
        <w:t>Exemplary Damages In the ACL</w:t>
      </w:r>
    </w:p>
    <w:p w:rsidR="00722C57" w:rsidRPr="00DB3CB8" w:rsidRDefault="00722C57"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02"/>
        <w:jc w:val="both"/>
        <w:rPr>
          <w:rFonts w:ascii="Garamond" w:hAnsi="Garamond"/>
          <w:sz w:val="24"/>
          <w:szCs w:val="24"/>
        </w:rPr>
      </w:pPr>
      <w:r w:rsidRPr="00DB3CB8">
        <w:rPr>
          <w:rFonts w:ascii="Garamond" w:hAnsi="Garamond"/>
          <w:sz w:val="24"/>
          <w:szCs w:val="24"/>
        </w:rPr>
        <w:t xml:space="preserve">It wouldn’t be hard to include exemplary damages in the ACL and it would permit </w:t>
      </w:r>
      <w:r w:rsidR="002F3781" w:rsidRPr="00DB3CB8">
        <w:rPr>
          <w:rFonts w:ascii="Garamond" w:hAnsi="Garamond"/>
          <w:sz w:val="24"/>
          <w:szCs w:val="24"/>
        </w:rPr>
        <w:t xml:space="preserve">private </w:t>
      </w:r>
      <w:r w:rsidRPr="00DB3CB8">
        <w:rPr>
          <w:rFonts w:ascii="Garamond" w:hAnsi="Garamond"/>
          <w:sz w:val="24"/>
          <w:szCs w:val="24"/>
        </w:rPr>
        <w:t xml:space="preserve">enforcement of the ACL meaning deterrence.  This would greatly enhance the consumer protection of the Act.  Importantly the courts are very familiar with the exceptional use of these damages.  </w:t>
      </w:r>
    </w:p>
    <w:p w:rsidR="00B51816" w:rsidRPr="00DB3CB8" w:rsidRDefault="00B51816"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02"/>
        <w:jc w:val="both"/>
        <w:rPr>
          <w:rFonts w:ascii="Garamond" w:hAnsi="Garamond"/>
          <w:sz w:val="24"/>
          <w:szCs w:val="24"/>
        </w:rPr>
      </w:pPr>
    </w:p>
    <w:p w:rsidR="00B51816" w:rsidRPr="00DB3CB8" w:rsidRDefault="00B51816" w:rsidP="00EB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02"/>
        <w:jc w:val="both"/>
        <w:rPr>
          <w:rFonts w:ascii="Garamond" w:hAnsi="Garamond"/>
          <w:sz w:val="24"/>
          <w:szCs w:val="24"/>
        </w:rPr>
      </w:pPr>
      <w:r w:rsidRPr="00DB3CB8">
        <w:rPr>
          <w:rFonts w:ascii="Garamond" w:hAnsi="Garamond"/>
          <w:sz w:val="24"/>
          <w:szCs w:val="24"/>
        </w:rPr>
        <w:t>There is one potential problem.  Exemplary damages are normally parasitic on compensatory damages and are, therefore, aimed at punishing and deterring conduct which is also the subject of compensatory damages, from which the exemplary award ought to be separated.</w:t>
      </w:r>
      <w:r w:rsidRPr="00DB3CB8">
        <w:rPr>
          <w:rFonts w:ascii="Garamond" w:hAnsi="Garamond"/>
          <w:sz w:val="24"/>
          <w:szCs w:val="24"/>
          <w:vertAlign w:val="superscript"/>
        </w:rPr>
        <w:t xml:space="preserve"> </w:t>
      </w:r>
      <w:r w:rsidRPr="00DB3CB8">
        <w:rPr>
          <w:rFonts w:ascii="Garamond" w:hAnsi="Garamond"/>
          <w:sz w:val="24"/>
          <w:szCs w:val="24"/>
        </w:rPr>
        <w:t>In other words, it could be argued that exemplary damages in the ACL s</w:t>
      </w:r>
      <w:r w:rsidR="00D749AF">
        <w:rPr>
          <w:rFonts w:ascii="Garamond" w:hAnsi="Garamond"/>
          <w:sz w:val="24"/>
          <w:szCs w:val="24"/>
        </w:rPr>
        <w:t>h</w:t>
      </w:r>
      <w:r w:rsidRPr="00DB3CB8">
        <w:rPr>
          <w:rFonts w:ascii="Garamond" w:hAnsi="Garamond"/>
          <w:sz w:val="24"/>
          <w:szCs w:val="24"/>
        </w:rPr>
        <w:t>o</w:t>
      </w:r>
      <w:r w:rsidR="00D749AF">
        <w:rPr>
          <w:rFonts w:ascii="Garamond" w:hAnsi="Garamond"/>
          <w:sz w:val="24"/>
          <w:szCs w:val="24"/>
        </w:rPr>
        <w:t>uld</w:t>
      </w:r>
      <w:bookmarkStart w:id="10" w:name="_GoBack"/>
      <w:bookmarkEnd w:id="10"/>
      <w:r w:rsidRPr="00DB3CB8">
        <w:rPr>
          <w:rFonts w:ascii="Garamond" w:hAnsi="Garamond"/>
          <w:sz w:val="24"/>
          <w:szCs w:val="24"/>
        </w:rPr>
        <w:t xml:space="preserve"> only be available when compensatory damages are awarded.  But this superficially attractive limitation on exemplary damages does not hold to closer attention.  As has been noted in cases, there does not appear to be any reason in principle why an award of exemplary damages should not stand on its own.</w:t>
      </w:r>
      <w:r w:rsidR="00932979" w:rsidRPr="00DB3CB8">
        <w:rPr>
          <w:rStyle w:val="FootnoteReference"/>
          <w:rFonts w:ascii="Garamond" w:hAnsi="Garamond"/>
          <w:sz w:val="24"/>
          <w:szCs w:val="24"/>
        </w:rPr>
        <w:footnoteReference w:id="27"/>
      </w:r>
    </w:p>
    <w:p w:rsidR="0019783E" w:rsidRPr="00DB3CB8" w:rsidRDefault="0019783E" w:rsidP="00EB3373">
      <w:pPr>
        <w:spacing w:line="360" w:lineRule="auto"/>
        <w:ind w:right="-46"/>
        <w:jc w:val="both"/>
        <w:rPr>
          <w:rFonts w:ascii="Garamond" w:hAnsi="Garamond"/>
          <w:sz w:val="24"/>
          <w:szCs w:val="24"/>
        </w:rPr>
      </w:pPr>
    </w:p>
    <w:p w:rsidR="00DB3CB8" w:rsidRPr="00DB3CB8" w:rsidRDefault="00DB3CB8" w:rsidP="00EB3373">
      <w:pPr>
        <w:spacing w:line="360" w:lineRule="auto"/>
        <w:ind w:right="-46"/>
        <w:jc w:val="both"/>
        <w:rPr>
          <w:rFonts w:ascii="Garamond" w:hAnsi="Garamond"/>
          <w:sz w:val="24"/>
          <w:szCs w:val="24"/>
        </w:rPr>
      </w:pPr>
      <w:r w:rsidRPr="00DB3CB8">
        <w:rPr>
          <w:rFonts w:ascii="Garamond" w:hAnsi="Garamond"/>
          <w:sz w:val="24"/>
          <w:szCs w:val="24"/>
        </w:rPr>
        <w:t>The award of exemplary damages in the ACL would allow this enforcement gap to be surmounted.</w:t>
      </w:r>
      <w:r w:rsidR="0003799D">
        <w:rPr>
          <w:rFonts w:ascii="Garamond" w:hAnsi="Garamond"/>
          <w:sz w:val="24"/>
          <w:szCs w:val="24"/>
        </w:rPr>
        <w:t xml:space="preserve">  Therefore, I would suggest after s 236 a new provision simply allowing the award of exemplary damages be added to the Act.</w:t>
      </w:r>
    </w:p>
    <w:p w:rsidR="000C02B1" w:rsidRDefault="000C02B1" w:rsidP="00EB3373">
      <w:pPr>
        <w:spacing w:line="360" w:lineRule="auto"/>
      </w:pPr>
    </w:p>
    <w:sectPr w:rsidR="000C02B1" w:rsidSect="000C02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27" w:rsidRDefault="003D6927" w:rsidP="005A74C6">
      <w:pPr>
        <w:spacing w:after="0" w:line="240" w:lineRule="auto"/>
      </w:pPr>
      <w:r>
        <w:separator/>
      </w:r>
    </w:p>
  </w:endnote>
  <w:endnote w:type="continuationSeparator" w:id="0">
    <w:p w:rsidR="003D6927" w:rsidRDefault="003D6927" w:rsidP="005A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3" w:rsidRDefault="00DF0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3" w:rsidRDefault="00DF0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3" w:rsidRDefault="00DF0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27" w:rsidRDefault="003D6927" w:rsidP="005A74C6">
      <w:pPr>
        <w:spacing w:after="0" w:line="240" w:lineRule="auto"/>
      </w:pPr>
      <w:r>
        <w:separator/>
      </w:r>
    </w:p>
  </w:footnote>
  <w:footnote w:type="continuationSeparator" w:id="0">
    <w:p w:rsidR="003D6927" w:rsidRDefault="003D6927" w:rsidP="005A74C6">
      <w:pPr>
        <w:spacing w:after="0" w:line="240" w:lineRule="auto"/>
      </w:pPr>
      <w:r>
        <w:continuationSeparator/>
      </w:r>
    </w:p>
  </w:footnote>
  <w:footnote w:id="1">
    <w:p w:rsidR="00DF02C3" w:rsidRPr="00DB3CB8" w:rsidRDefault="00DF02C3" w:rsidP="00866FAE">
      <w:pPr>
        <w:autoSpaceDE w:val="0"/>
        <w:autoSpaceDN w:val="0"/>
        <w:spacing w:after="0"/>
        <w:rPr>
          <w:rFonts w:ascii="Garamond" w:hAnsi="Garamond"/>
          <w:b/>
          <w:bCs/>
          <w:color w:val="004A8D"/>
          <w:sz w:val="20"/>
          <w:szCs w:val="20"/>
        </w:rPr>
      </w:pPr>
      <w:r w:rsidRPr="00DB3CB8">
        <w:rPr>
          <w:rStyle w:val="FootnoteReference"/>
          <w:rFonts w:ascii="Garamond" w:hAnsi="Garamond"/>
          <w:sz w:val="20"/>
          <w:szCs w:val="20"/>
        </w:rPr>
        <w:footnoteRef/>
      </w:r>
      <w:r w:rsidRPr="00DB3CB8">
        <w:rPr>
          <w:rFonts w:ascii="Garamond" w:hAnsi="Garamond"/>
          <w:sz w:val="20"/>
          <w:szCs w:val="20"/>
        </w:rPr>
        <w:t xml:space="preserve"> Rod Sims, ‘ACCC – Future Directions’ (Speech delivered at the Law Council of Australia Competition and Consumer Workshop, Gold Coast, 27 August 2011).</w:t>
      </w:r>
    </w:p>
  </w:footnote>
  <w:footnote w:id="2">
    <w:p w:rsidR="00DF02C3" w:rsidRPr="00DB3CB8" w:rsidRDefault="00DF02C3" w:rsidP="003F650B">
      <w:pPr>
        <w:ind w:left="709" w:right="720" w:hanging="709"/>
        <w:jc w:val="both"/>
        <w:rPr>
          <w:rFonts w:ascii="Garamond" w:hAnsi="Garamond"/>
          <w:sz w:val="20"/>
          <w:szCs w:val="20"/>
        </w:rPr>
      </w:pPr>
      <w:r w:rsidRPr="00DB3CB8">
        <w:rPr>
          <w:rFonts w:ascii="Garamond" w:hAnsi="Garamond"/>
          <w:sz w:val="20"/>
          <w:szCs w:val="20"/>
        </w:rPr>
        <w:footnoteRef/>
      </w:r>
      <w:r w:rsidRPr="00DB3CB8">
        <w:rPr>
          <w:rFonts w:ascii="Garamond" w:hAnsi="Garamond"/>
          <w:sz w:val="20"/>
          <w:szCs w:val="20"/>
        </w:rPr>
        <w:t xml:space="preserve"> </w:t>
      </w:r>
      <w:r w:rsidRPr="00DB3CB8">
        <w:rPr>
          <w:rFonts w:ascii="Garamond" w:hAnsi="Garamond"/>
          <w:sz w:val="20"/>
          <w:szCs w:val="20"/>
        </w:rPr>
        <w:tab/>
      </w:r>
      <w:r w:rsidRPr="00DB3CB8">
        <w:rPr>
          <w:rFonts w:ascii="Garamond" w:hAnsi="Garamond"/>
          <w:i/>
          <w:sz w:val="20"/>
          <w:szCs w:val="20"/>
        </w:rPr>
        <w:t>Marks v GIO Australia Holdings Pty Ltd</w:t>
      </w:r>
      <w:r w:rsidRPr="00DB3CB8">
        <w:rPr>
          <w:rFonts w:ascii="Garamond" w:hAnsi="Garamond"/>
          <w:sz w:val="20"/>
          <w:szCs w:val="20"/>
        </w:rPr>
        <w:t xml:space="preserve"> (1998) 196 CLR 949. See the excellent case note on this decision by Davidson, “Marks v GIO Australia Ltd:</w:t>
      </w:r>
      <w:r w:rsidRPr="00DB3CB8">
        <w:rPr>
          <w:rFonts w:ascii="Garamond" w:hAnsi="Garamond"/>
          <w:i/>
          <w:sz w:val="20"/>
          <w:szCs w:val="20"/>
        </w:rPr>
        <w:t xml:space="preserve"> </w:t>
      </w:r>
      <w:r w:rsidRPr="00DB3CB8">
        <w:rPr>
          <w:rFonts w:ascii="Garamond" w:hAnsi="Garamond"/>
          <w:sz w:val="20"/>
          <w:szCs w:val="20"/>
        </w:rPr>
        <w:t xml:space="preserve">Not Just Marking Time” (1999) 18 </w:t>
      </w:r>
      <w:r w:rsidRPr="00DB3CB8">
        <w:rPr>
          <w:rFonts w:ascii="Garamond" w:hAnsi="Garamond"/>
          <w:i/>
          <w:sz w:val="20"/>
          <w:szCs w:val="20"/>
        </w:rPr>
        <w:t xml:space="preserve">Aust Bar Rev </w:t>
      </w:r>
      <w:r w:rsidRPr="00DB3CB8">
        <w:rPr>
          <w:rFonts w:ascii="Garamond" w:hAnsi="Garamond"/>
          <w:sz w:val="20"/>
          <w:szCs w:val="20"/>
        </w:rPr>
        <w:t>79.</w:t>
      </w:r>
    </w:p>
  </w:footnote>
  <w:footnote w:id="3">
    <w:p w:rsidR="00DF02C3" w:rsidRPr="00DB3CB8" w:rsidRDefault="00DF02C3" w:rsidP="003F650B">
      <w:pPr>
        <w:ind w:left="709" w:right="720" w:hanging="709"/>
        <w:jc w:val="both"/>
        <w:rPr>
          <w:rFonts w:ascii="Garamond" w:hAnsi="Garamond"/>
          <w:sz w:val="20"/>
          <w:szCs w:val="20"/>
        </w:rPr>
      </w:pPr>
      <w:r w:rsidRPr="00DB3CB8">
        <w:rPr>
          <w:rFonts w:ascii="Garamond" w:hAnsi="Garamond"/>
          <w:sz w:val="20"/>
          <w:szCs w:val="20"/>
        </w:rPr>
        <w:footnoteRef/>
      </w:r>
      <w:r w:rsidRPr="00DB3CB8">
        <w:rPr>
          <w:rFonts w:ascii="Garamond" w:hAnsi="Garamond"/>
          <w:sz w:val="20"/>
          <w:szCs w:val="20"/>
        </w:rPr>
        <w:t xml:space="preserve"> </w:t>
      </w:r>
      <w:r w:rsidRPr="00DB3CB8">
        <w:rPr>
          <w:rFonts w:ascii="Garamond" w:hAnsi="Garamond"/>
          <w:sz w:val="20"/>
          <w:szCs w:val="20"/>
        </w:rPr>
        <w:tab/>
        <w:t>Ibid at 515 per McHugh, Callinan and Hayne JJ.</w:t>
      </w:r>
    </w:p>
  </w:footnote>
  <w:footnote w:id="4">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 xml:space="preserve">Not all torts are being subsumed by the tort of negligence.  The High Court seems very to stop this occurring and keen to maintain to maintain many different torts, for example see </w:t>
      </w:r>
      <w:r w:rsidRPr="00DB3CB8">
        <w:rPr>
          <w:rFonts w:ascii="Garamond" w:hAnsi="Garamond"/>
          <w:i/>
        </w:rPr>
        <w:t>Barclay v Penberthy</w:t>
      </w:r>
      <w:r w:rsidRPr="00DB3CB8">
        <w:rPr>
          <w:rFonts w:ascii="Garamond" w:hAnsi="Garamond"/>
        </w:rPr>
        <w:t xml:space="preserve"> (2012) </w:t>
      </w:r>
      <w:r w:rsidRPr="00DB3CB8">
        <w:rPr>
          <w:rFonts w:ascii="Garamond" w:hAnsi="Garamond" w:cs="Arial"/>
        </w:rPr>
        <w:t>86 ALJR 1206.</w:t>
      </w:r>
    </w:p>
  </w:footnote>
  <w:footnote w:id="5">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Tilbury has referred to this as “</w:t>
      </w:r>
      <w:r w:rsidRPr="00DB3CB8">
        <w:rPr>
          <w:rFonts w:ascii="Garamond" w:hAnsi="Garamond"/>
          <w:iCs/>
        </w:rPr>
        <w:t>the false monopoly of compensation”, see “</w:t>
      </w:r>
      <w:r w:rsidRPr="00DB3CB8">
        <w:rPr>
          <w:rFonts w:ascii="Garamond" w:hAnsi="Garamond"/>
        </w:rPr>
        <w:t xml:space="preserve">Reconstructing Damages” (2003) 27 </w:t>
      </w:r>
      <w:r w:rsidRPr="00DB3CB8">
        <w:rPr>
          <w:rFonts w:ascii="Garamond" w:hAnsi="Garamond"/>
          <w:i/>
        </w:rPr>
        <w:t>MULR</w:t>
      </w:r>
      <w:r w:rsidRPr="00DB3CB8">
        <w:rPr>
          <w:rFonts w:ascii="Garamond" w:hAnsi="Garamond"/>
        </w:rPr>
        <w:t xml:space="preserve"> 697.</w:t>
      </w:r>
    </w:p>
  </w:footnote>
  <w:footnote w:id="6">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(1966) 117 CLR 118.</w:t>
      </w:r>
    </w:p>
  </w:footnote>
  <w:footnote w:id="7">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Ibid at 150.</w:t>
      </w:r>
    </w:p>
  </w:footnote>
  <w:footnote w:id="8">
    <w:p w:rsidR="00DF02C3" w:rsidRPr="00DB3CB8" w:rsidRDefault="00DF02C3">
      <w:pPr>
        <w:pStyle w:val="FootnoteText"/>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 xml:space="preserve">In Australia these damages are called </w:t>
      </w:r>
      <w:r w:rsidRPr="00DB3CB8">
        <w:rPr>
          <w:rFonts w:ascii="Garamond" w:hAnsi="Garamond"/>
          <w:bCs/>
        </w:rPr>
        <w:t>exemplary, whist in America they are called punitive.</w:t>
      </w:r>
    </w:p>
  </w:footnote>
  <w:footnote w:id="9">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Arial"/>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(1920) 29 CLR 71 at 77.</w:t>
      </w:r>
    </w:p>
  </w:footnote>
  <w:footnote w:id="10">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(1985) 155 CLR 448.</w:t>
      </w:r>
    </w:p>
  </w:footnote>
  <w:footnote w:id="11">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Ibid a</w:t>
      </w:r>
      <w:r w:rsidRPr="00DB3CB8">
        <w:rPr>
          <w:rFonts w:ascii="Garamond" w:hAnsi="Garamond" w:cs="Arial"/>
        </w:rPr>
        <w:t>t 464–465.</w:t>
      </w:r>
    </w:p>
  </w:footnote>
  <w:footnote w:id="12">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Ibid a</w:t>
      </w:r>
      <w:r w:rsidRPr="00DB3CB8">
        <w:rPr>
          <w:rFonts w:ascii="Garamond" w:hAnsi="Garamond" w:cs="Arial"/>
        </w:rPr>
        <w:t>t 472.</w:t>
      </w:r>
    </w:p>
  </w:footnote>
  <w:footnote w:id="13">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(1987) 164 CLR 1</w:t>
      </w:r>
      <w:r w:rsidRPr="00DB3CB8">
        <w:rPr>
          <w:rFonts w:ascii="Garamond" w:hAnsi="Garamond" w:cs="Arial"/>
          <w:vertAlign w:val="superscript"/>
        </w:rPr>
        <w:t xml:space="preserve"> </w:t>
      </w:r>
      <w:r w:rsidRPr="00DB3CB8">
        <w:rPr>
          <w:rFonts w:ascii="Garamond" w:hAnsi="Garamond" w:cs="Arial"/>
        </w:rPr>
        <w:t>at 7–8.</w:t>
      </w:r>
    </w:p>
  </w:footnote>
  <w:footnote w:id="14">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(1966) 117 CLR 118I would argue.</w:t>
      </w:r>
    </w:p>
  </w:footnote>
  <w:footnote w:id="15">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w:t>
      </w:r>
      <w:r w:rsidRPr="00DB3CB8">
        <w:rPr>
          <w:rFonts w:ascii="Garamond" w:hAnsi="Garamond" w:cs="Arial"/>
        </w:rPr>
        <w:t>1964] AC 1129.</w:t>
      </w:r>
    </w:p>
  </w:footnote>
  <w:footnote w:id="16">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i/>
          <w:iCs/>
        </w:rPr>
        <w:t>Uren v John Fairfax &amp; Sons Pty Ltd</w:t>
      </w:r>
      <w:r w:rsidRPr="00DB3CB8">
        <w:rPr>
          <w:rFonts w:ascii="Garamond" w:hAnsi="Garamond" w:cs="Arial"/>
        </w:rPr>
        <w:t xml:space="preserve"> (1966) 117 CLR 118 at 158.</w:t>
      </w:r>
    </w:p>
  </w:footnote>
  <w:footnote w:id="17">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(1985) 155 CLR 448 at 472.</w:t>
      </w:r>
    </w:p>
  </w:footnote>
  <w:footnote w:id="18">
    <w:p w:rsidR="00DF02C3" w:rsidRPr="00DB3CB8" w:rsidRDefault="00DF02C3" w:rsidP="00197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hAnsi="Garamond"/>
          <w:sz w:val="20"/>
          <w:szCs w:val="20"/>
        </w:rPr>
      </w:pPr>
      <w:r w:rsidRPr="00DB3CB8">
        <w:rPr>
          <w:rStyle w:val="FootnoteReference"/>
          <w:rFonts w:ascii="Garamond" w:hAnsi="Garamond"/>
          <w:sz w:val="20"/>
          <w:szCs w:val="20"/>
        </w:rPr>
        <w:footnoteRef/>
      </w:r>
      <w:r w:rsidRPr="00DB3CB8">
        <w:rPr>
          <w:rFonts w:ascii="Garamond" w:hAnsi="Garamond"/>
          <w:sz w:val="20"/>
          <w:szCs w:val="20"/>
        </w:rPr>
        <w:t xml:space="preserve"> </w:t>
      </w:r>
      <w:r w:rsidRPr="00DB3CB8">
        <w:rPr>
          <w:rFonts w:ascii="Garamond" w:hAnsi="Garamond"/>
          <w:sz w:val="20"/>
          <w:szCs w:val="20"/>
        </w:rPr>
        <w:tab/>
        <w:t xml:space="preserve">See also </w:t>
      </w:r>
      <w:r w:rsidRPr="00DB3CB8">
        <w:rPr>
          <w:rFonts w:ascii="Garamond" w:hAnsi="Garamond" w:cs="Arial"/>
          <w:i/>
          <w:iCs/>
          <w:sz w:val="20"/>
          <w:szCs w:val="20"/>
        </w:rPr>
        <w:t>Australian Rugby Union Ltd v Hospitality Group Pty Ltd</w:t>
      </w:r>
      <w:r w:rsidRPr="00DB3CB8">
        <w:rPr>
          <w:rFonts w:ascii="Garamond" w:hAnsi="Garamond" w:cs="Arial"/>
          <w:sz w:val="20"/>
          <w:szCs w:val="20"/>
        </w:rPr>
        <w:t xml:space="preserve"> (2000) 173 ALR 702.</w:t>
      </w:r>
    </w:p>
  </w:footnote>
  <w:footnote w:id="19">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(1985) 155 CLR 448 at 463.</w:t>
      </w:r>
    </w:p>
  </w:footnote>
  <w:footnote w:id="20">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[1997] 1 VR 182.</w:t>
      </w:r>
    </w:p>
  </w:footnote>
  <w:footnote w:id="21">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(1993) 178 CLR 44</w:t>
      </w:r>
      <w:r w:rsidR="007E4F32" w:rsidRPr="00DB3CB8">
        <w:rPr>
          <w:rFonts w:ascii="Garamond" w:hAnsi="Garamond"/>
        </w:rPr>
        <w:t>.</w:t>
      </w:r>
    </w:p>
  </w:footnote>
  <w:footnote w:id="22">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cs="Arial"/>
        </w:rPr>
        <w:t>(1998) 196 CLR 1</w:t>
      </w:r>
      <w:r w:rsidR="001820BF" w:rsidRPr="00DB3CB8">
        <w:rPr>
          <w:rFonts w:ascii="Garamond" w:hAnsi="Garamond"/>
        </w:rPr>
        <w:t>.</w:t>
      </w:r>
    </w:p>
  </w:footnote>
  <w:footnote w:id="23">
    <w:p w:rsidR="00DF02C3" w:rsidRPr="00DB3CB8" w:rsidRDefault="00DF02C3" w:rsidP="00197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hAnsi="Garamond"/>
          <w:sz w:val="20"/>
          <w:szCs w:val="20"/>
        </w:rPr>
      </w:pPr>
      <w:r w:rsidRPr="00DB3CB8">
        <w:rPr>
          <w:rStyle w:val="FootnoteReference"/>
          <w:rFonts w:ascii="Garamond" w:hAnsi="Garamond"/>
          <w:sz w:val="20"/>
          <w:szCs w:val="20"/>
        </w:rPr>
        <w:footnoteRef/>
      </w:r>
      <w:r w:rsidRPr="00DB3CB8">
        <w:rPr>
          <w:rFonts w:ascii="Garamond" w:hAnsi="Garamond"/>
          <w:sz w:val="20"/>
          <w:szCs w:val="20"/>
        </w:rPr>
        <w:t xml:space="preserve"> </w:t>
      </w:r>
      <w:r w:rsidRPr="00DB3CB8">
        <w:rPr>
          <w:rFonts w:ascii="Garamond" w:hAnsi="Garamond"/>
          <w:sz w:val="20"/>
          <w:szCs w:val="20"/>
        </w:rPr>
        <w:tab/>
      </w:r>
      <w:r w:rsidRPr="00DB3CB8">
        <w:rPr>
          <w:rFonts w:ascii="Garamond" w:hAnsi="Garamond" w:cs="Arial"/>
          <w:i/>
          <w:iCs/>
          <w:sz w:val="20"/>
          <w:szCs w:val="20"/>
        </w:rPr>
        <w:t>Civil Liability Act 2002</w:t>
      </w:r>
      <w:r w:rsidRPr="00DB3CB8">
        <w:rPr>
          <w:rFonts w:ascii="Garamond" w:hAnsi="Garamond" w:cs="Arial"/>
          <w:sz w:val="20"/>
          <w:szCs w:val="20"/>
        </w:rPr>
        <w:t xml:space="preserve"> (NSW) s 21; </w:t>
      </w:r>
      <w:r w:rsidRPr="00DB3CB8">
        <w:rPr>
          <w:rFonts w:ascii="Garamond" w:hAnsi="Garamond" w:cs="Arial"/>
          <w:i/>
          <w:iCs/>
          <w:sz w:val="20"/>
          <w:szCs w:val="20"/>
        </w:rPr>
        <w:t>Motor Accidents Act 1988</w:t>
      </w:r>
      <w:r w:rsidRPr="00DB3CB8">
        <w:rPr>
          <w:rFonts w:ascii="Garamond" w:hAnsi="Garamond" w:cs="Arial"/>
          <w:sz w:val="20"/>
          <w:szCs w:val="20"/>
        </w:rPr>
        <w:t xml:space="preserve"> (NSW) s 81A; </w:t>
      </w:r>
      <w:r w:rsidRPr="00DB3CB8">
        <w:rPr>
          <w:rFonts w:ascii="Garamond" w:hAnsi="Garamond" w:cs="Arial"/>
          <w:i/>
          <w:iCs/>
          <w:sz w:val="20"/>
          <w:szCs w:val="20"/>
        </w:rPr>
        <w:t>Motor Accidents Compensation Act 1999</w:t>
      </w:r>
      <w:r w:rsidRPr="00DB3CB8">
        <w:rPr>
          <w:rFonts w:ascii="Garamond" w:hAnsi="Garamond" w:cs="Arial"/>
          <w:sz w:val="20"/>
          <w:szCs w:val="20"/>
        </w:rPr>
        <w:t xml:space="preserve"> (NSW) s 144; </w:t>
      </w:r>
      <w:r w:rsidRPr="00DB3CB8">
        <w:rPr>
          <w:rFonts w:ascii="Garamond" w:hAnsi="Garamond" w:cs="Arial"/>
          <w:i/>
          <w:iCs/>
          <w:sz w:val="20"/>
          <w:szCs w:val="20"/>
        </w:rPr>
        <w:t>Workers Compensation Act 1987</w:t>
      </w:r>
      <w:r w:rsidRPr="00DB3CB8">
        <w:rPr>
          <w:rFonts w:ascii="Garamond" w:hAnsi="Garamond" w:cs="Arial"/>
          <w:sz w:val="20"/>
          <w:szCs w:val="20"/>
        </w:rPr>
        <w:t xml:space="preserve"> (NSW) s 151R; </w:t>
      </w:r>
      <w:r w:rsidRPr="00DB3CB8">
        <w:rPr>
          <w:rFonts w:ascii="Garamond" w:hAnsi="Garamond" w:cs="Arial"/>
          <w:i/>
          <w:iCs/>
          <w:sz w:val="20"/>
          <w:szCs w:val="20"/>
        </w:rPr>
        <w:t>Civil Liability Act 2003</w:t>
      </w:r>
      <w:r w:rsidRPr="00DB3CB8">
        <w:rPr>
          <w:rFonts w:ascii="Garamond" w:hAnsi="Garamond" w:cs="Arial"/>
          <w:sz w:val="20"/>
          <w:szCs w:val="20"/>
        </w:rPr>
        <w:t xml:space="preserve"> (Qld) s 52, but see </w:t>
      </w:r>
      <w:r w:rsidRPr="00DB3CB8">
        <w:rPr>
          <w:rFonts w:ascii="Garamond" w:hAnsi="Garamond" w:cs="Arial"/>
          <w:i/>
          <w:iCs/>
          <w:sz w:val="20"/>
          <w:szCs w:val="20"/>
        </w:rPr>
        <w:t>Motor Accident Insurance Act 1994</w:t>
      </w:r>
      <w:r w:rsidRPr="00DB3CB8">
        <w:rPr>
          <w:rFonts w:ascii="Garamond" w:hAnsi="Garamond" w:cs="Arial"/>
          <w:sz w:val="20"/>
          <w:szCs w:val="20"/>
        </w:rPr>
        <w:t xml:space="preserve"> (Qld) s 55; </w:t>
      </w:r>
      <w:r w:rsidRPr="00DB3CB8">
        <w:rPr>
          <w:rFonts w:ascii="Garamond" w:hAnsi="Garamond" w:cs="Arial"/>
          <w:i/>
          <w:iCs/>
          <w:sz w:val="20"/>
          <w:szCs w:val="20"/>
        </w:rPr>
        <w:t>Workers' Compensation and Rehabilitation Act 2003</w:t>
      </w:r>
      <w:r w:rsidRPr="00DB3CB8">
        <w:rPr>
          <w:rFonts w:ascii="Garamond" w:hAnsi="Garamond" w:cs="Arial"/>
          <w:sz w:val="20"/>
          <w:szCs w:val="20"/>
        </w:rPr>
        <w:t xml:space="preserve"> (Qld) s 309 (exemplary damages only barred against WorkCover, not against an employer); </w:t>
      </w:r>
      <w:r w:rsidRPr="00DB3CB8">
        <w:rPr>
          <w:rFonts w:ascii="Garamond" w:hAnsi="Garamond" w:cs="Arial"/>
          <w:i/>
          <w:iCs/>
          <w:sz w:val="20"/>
          <w:szCs w:val="20"/>
        </w:rPr>
        <w:t>Motor Vehicles Act 1959</w:t>
      </w:r>
      <w:r w:rsidRPr="00DB3CB8">
        <w:rPr>
          <w:rFonts w:ascii="Garamond" w:hAnsi="Garamond" w:cs="Arial"/>
          <w:sz w:val="20"/>
          <w:szCs w:val="20"/>
        </w:rPr>
        <w:t xml:space="preserve"> (SA) s 113A (insurer not liable for exemplary damages); </w:t>
      </w:r>
      <w:r w:rsidRPr="00DB3CB8">
        <w:rPr>
          <w:rFonts w:ascii="Garamond" w:hAnsi="Garamond" w:cs="Arial"/>
          <w:i/>
          <w:iCs/>
          <w:sz w:val="20"/>
          <w:szCs w:val="20"/>
        </w:rPr>
        <w:t>Victims of Crime Assistance Act 1976</w:t>
      </w:r>
      <w:r w:rsidRPr="00DB3CB8">
        <w:rPr>
          <w:rFonts w:ascii="Garamond" w:hAnsi="Garamond" w:cs="Arial"/>
          <w:sz w:val="20"/>
          <w:szCs w:val="20"/>
        </w:rPr>
        <w:t xml:space="preserve"> (Tas) s 6(1)(b);  </w:t>
      </w:r>
      <w:r w:rsidRPr="00DB3CB8">
        <w:rPr>
          <w:rFonts w:ascii="Garamond" w:hAnsi="Garamond" w:cs="Arial"/>
          <w:i/>
          <w:iCs/>
          <w:sz w:val="20"/>
          <w:szCs w:val="20"/>
        </w:rPr>
        <w:t>Workers' Compensation and Injury Management Act 1981</w:t>
      </w:r>
      <w:r w:rsidRPr="00DB3CB8">
        <w:rPr>
          <w:rFonts w:ascii="Garamond" w:hAnsi="Garamond" w:cs="Arial"/>
          <w:sz w:val="20"/>
          <w:szCs w:val="20"/>
        </w:rPr>
        <w:t xml:space="preserve"> (WA) s 93B(3)(b); </w:t>
      </w:r>
      <w:r w:rsidRPr="00DB3CB8">
        <w:rPr>
          <w:rFonts w:ascii="Garamond" w:hAnsi="Garamond" w:cs="Arial"/>
          <w:i/>
          <w:iCs/>
          <w:sz w:val="20"/>
          <w:szCs w:val="20"/>
        </w:rPr>
        <w:t>Personal Injuries (Liabilities and Damages) Act 2003</w:t>
      </w:r>
      <w:r w:rsidRPr="00DB3CB8">
        <w:rPr>
          <w:rFonts w:ascii="Garamond" w:hAnsi="Garamond" w:cs="Arial"/>
          <w:sz w:val="20"/>
          <w:szCs w:val="20"/>
        </w:rPr>
        <w:t xml:space="preserve"> (NT) s 19.</w:t>
      </w:r>
    </w:p>
  </w:footnote>
  <w:footnote w:id="24">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 xml:space="preserve">For example </w:t>
      </w:r>
      <w:r w:rsidRPr="00DB3CB8">
        <w:rPr>
          <w:rFonts w:ascii="Garamond" w:hAnsi="Garamond" w:cs="Arial"/>
          <w:i/>
          <w:iCs/>
        </w:rPr>
        <w:t>Midalco Pty Ltd v Rabenalt</w:t>
      </w:r>
      <w:r w:rsidRPr="00DB3CB8">
        <w:rPr>
          <w:rFonts w:ascii="Garamond" w:hAnsi="Garamond" w:cs="Arial"/>
        </w:rPr>
        <w:t xml:space="preserve"> [1989] VR 461.</w:t>
      </w:r>
    </w:p>
  </w:footnote>
  <w:footnote w:id="25">
    <w:p w:rsidR="00DF02C3" w:rsidRPr="00DB3CB8" w:rsidRDefault="00DF02C3" w:rsidP="0019783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DB3CB8">
        <w:rPr>
          <w:rStyle w:val="FootnoteReference"/>
          <w:rFonts w:ascii="Garamond" w:hAnsi="Garamond"/>
        </w:rPr>
        <w:footnoteRef/>
      </w:r>
      <w:r w:rsidR="00DB3CB8">
        <w:rPr>
          <w:rFonts w:ascii="Garamond" w:hAnsi="Garamond"/>
        </w:rPr>
        <w:t xml:space="preserve"> </w:t>
      </w:r>
      <w:r w:rsidR="00DB3CB8">
        <w:rPr>
          <w:rFonts w:ascii="Garamond" w:hAnsi="Garamond"/>
        </w:rPr>
        <w:tab/>
      </w:r>
      <w:r w:rsidRPr="00DB3CB8">
        <w:rPr>
          <w:rFonts w:ascii="Garamond" w:hAnsi="Garamond" w:cs="Arial"/>
        </w:rPr>
        <w:t>[1992] 2 VR 441.</w:t>
      </w:r>
    </w:p>
  </w:footnote>
  <w:footnote w:id="26">
    <w:p w:rsidR="00DB3CB8" w:rsidRPr="00DB3CB8" w:rsidRDefault="00DB3CB8" w:rsidP="00DB3CB8">
      <w:pPr>
        <w:pStyle w:val="FootnoteText"/>
        <w:rPr>
          <w:rFonts w:ascii="Garamond" w:hAnsi="Garamond"/>
          <w:bCs/>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r>
      <w:r w:rsidRPr="00DB3CB8">
        <w:rPr>
          <w:rFonts w:ascii="Garamond" w:hAnsi="Garamond"/>
          <w:bCs/>
          <w:i/>
        </w:rPr>
        <w:t>New South Wales v Ibbett</w:t>
      </w:r>
      <w:r w:rsidRPr="00DB3CB8">
        <w:rPr>
          <w:rFonts w:ascii="Garamond" w:hAnsi="Garamond"/>
          <w:bCs/>
        </w:rPr>
        <w:t xml:space="preserve"> (2006) 229 CLR 638, at [51].</w:t>
      </w:r>
    </w:p>
    <w:p w:rsidR="00DB3CB8" w:rsidRPr="00DB3CB8" w:rsidRDefault="00DB3CB8">
      <w:pPr>
        <w:pStyle w:val="FootnoteText"/>
        <w:rPr>
          <w:rFonts w:ascii="Garamond" w:hAnsi="Garamond"/>
        </w:rPr>
      </w:pPr>
    </w:p>
  </w:footnote>
  <w:footnote w:id="27">
    <w:p w:rsidR="00932979" w:rsidRPr="00DB3CB8" w:rsidRDefault="00932979">
      <w:pPr>
        <w:pStyle w:val="FootnoteText"/>
        <w:rPr>
          <w:rFonts w:ascii="Garamond" w:hAnsi="Garamond"/>
        </w:rPr>
      </w:pPr>
      <w:r w:rsidRPr="00DB3CB8">
        <w:rPr>
          <w:rStyle w:val="FootnoteReference"/>
          <w:rFonts w:ascii="Garamond" w:hAnsi="Garamond"/>
        </w:rPr>
        <w:footnoteRef/>
      </w:r>
      <w:r w:rsidRPr="00DB3CB8">
        <w:rPr>
          <w:rFonts w:ascii="Garamond" w:hAnsi="Garamond"/>
        </w:rPr>
        <w:t xml:space="preserve"> </w:t>
      </w:r>
      <w:r w:rsidRPr="00DB3CB8">
        <w:rPr>
          <w:rFonts w:ascii="Garamond" w:hAnsi="Garamond"/>
        </w:rPr>
        <w:tab/>
        <w:t>See </w:t>
      </w:r>
      <w:r w:rsidRPr="00DB3CB8">
        <w:rPr>
          <w:rFonts w:ascii="Garamond" w:hAnsi="Garamond"/>
          <w:i/>
          <w:iCs/>
        </w:rPr>
        <w:t>Donselaar v Donselaar</w:t>
      </w:r>
      <w:r w:rsidRPr="00DB3CB8">
        <w:rPr>
          <w:rFonts w:ascii="Garamond" w:hAnsi="Garamond"/>
        </w:rPr>
        <w:t> [1982] 1 NZLR 97;  </w:t>
      </w:r>
      <w:r w:rsidRPr="00DB3CB8">
        <w:rPr>
          <w:rFonts w:ascii="Garamond" w:hAnsi="Garamond"/>
          <w:i/>
          <w:iCs/>
        </w:rPr>
        <w:t>Fatimi Pty Ltd v Bryant</w:t>
      </w:r>
      <w:r w:rsidRPr="00DB3CB8">
        <w:rPr>
          <w:rFonts w:ascii="Garamond" w:hAnsi="Garamond"/>
        </w:rPr>
        <w:t> (2004) 59 NSWLR 678; (2004) Aust Torts Reports 81-746 at [74] per Giles 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3" w:rsidRDefault="00DF0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3" w:rsidRDefault="00DF0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3" w:rsidRDefault="00DF0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D54"/>
    <w:multiLevelType w:val="multilevel"/>
    <w:tmpl w:val="74B0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E7394"/>
    <w:multiLevelType w:val="hybridMultilevel"/>
    <w:tmpl w:val="D4B25A0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3A4A6AE5"/>
    <w:multiLevelType w:val="hybridMultilevel"/>
    <w:tmpl w:val="B28AF63C"/>
    <w:lvl w:ilvl="0" w:tplc="0C090013">
      <w:start w:val="1"/>
      <w:numFmt w:val="upperRoman"/>
      <w:pStyle w:val="Heading2"/>
      <w:lvlText w:val="%1."/>
      <w:lvlJc w:val="righ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9B510C6"/>
    <w:multiLevelType w:val="hybridMultilevel"/>
    <w:tmpl w:val="ACE200F2"/>
    <w:lvl w:ilvl="0" w:tplc="ADE24BC4">
      <w:start w:val="1"/>
      <w:numFmt w:val="decimal"/>
      <w:lvlText w:val="%1."/>
      <w:lvlJc w:val="left"/>
      <w:pPr>
        <w:ind w:left="720" w:hanging="360"/>
      </w:pPr>
      <w:rPr>
        <w:rFonts w:ascii="Garamond" w:eastAsiaTheme="minorHAnsi" w:hAnsi="Garamond" w:cstheme="minorBidi"/>
      </w:r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55B9"/>
    <w:rsid w:val="00030147"/>
    <w:rsid w:val="0003799D"/>
    <w:rsid w:val="000573F6"/>
    <w:rsid w:val="000C02B1"/>
    <w:rsid w:val="00116979"/>
    <w:rsid w:val="001820BF"/>
    <w:rsid w:val="00185D57"/>
    <w:rsid w:val="0019783E"/>
    <w:rsid w:val="001C319C"/>
    <w:rsid w:val="002F3781"/>
    <w:rsid w:val="00306052"/>
    <w:rsid w:val="0039394D"/>
    <w:rsid w:val="00395C2C"/>
    <w:rsid w:val="00396F1E"/>
    <w:rsid w:val="003A604D"/>
    <w:rsid w:val="003C5489"/>
    <w:rsid w:val="003D6927"/>
    <w:rsid w:val="003E26A2"/>
    <w:rsid w:val="003F650B"/>
    <w:rsid w:val="00403982"/>
    <w:rsid w:val="004371E7"/>
    <w:rsid w:val="0047536D"/>
    <w:rsid w:val="004F1703"/>
    <w:rsid w:val="005A74C6"/>
    <w:rsid w:val="005C6841"/>
    <w:rsid w:val="006A03F8"/>
    <w:rsid w:val="006B2476"/>
    <w:rsid w:val="006D73CD"/>
    <w:rsid w:val="007167CB"/>
    <w:rsid w:val="00722C57"/>
    <w:rsid w:val="007A55B9"/>
    <w:rsid w:val="007E4F32"/>
    <w:rsid w:val="007F3889"/>
    <w:rsid w:val="00827C42"/>
    <w:rsid w:val="00866B95"/>
    <w:rsid w:val="00866FAE"/>
    <w:rsid w:val="008B63E7"/>
    <w:rsid w:val="008E565C"/>
    <w:rsid w:val="00932979"/>
    <w:rsid w:val="009350FA"/>
    <w:rsid w:val="00941C6E"/>
    <w:rsid w:val="00A22780"/>
    <w:rsid w:val="00A40A24"/>
    <w:rsid w:val="00A8119E"/>
    <w:rsid w:val="00A84071"/>
    <w:rsid w:val="00B51816"/>
    <w:rsid w:val="00C3059A"/>
    <w:rsid w:val="00C8281A"/>
    <w:rsid w:val="00D749AF"/>
    <w:rsid w:val="00DB3CB8"/>
    <w:rsid w:val="00DF02C3"/>
    <w:rsid w:val="00E028CD"/>
    <w:rsid w:val="00E05706"/>
    <w:rsid w:val="00E612AB"/>
    <w:rsid w:val="00E97B00"/>
    <w:rsid w:val="00EB3373"/>
    <w:rsid w:val="00EB53B5"/>
    <w:rsid w:val="00FD2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C6"/>
  </w:style>
  <w:style w:type="paragraph" w:styleId="Heading2">
    <w:name w:val="heading 2"/>
    <w:basedOn w:val="Normal"/>
    <w:next w:val="Normal"/>
    <w:link w:val="Heading2Char"/>
    <w:uiPriority w:val="9"/>
    <w:semiHidden/>
    <w:unhideWhenUsed/>
    <w:qFormat/>
    <w:rsid w:val="005A74C6"/>
    <w:pPr>
      <w:keepNext/>
      <w:keepLines/>
      <w:numPr>
        <w:numId w:val="1"/>
      </w:numPr>
      <w:spacing w:before="200" w:after="0"/>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74C6"/>
    <w:rPr>
      <w:rFonts w:asciiTheme="majorHAnsi" w:eastAsiaTheme="majorEastAsia" w:hAnsiTheme="majorHAnsi" w:cstheme="majorBidi"/>
      <w:bCs/>
      <w:color w:val="4F81BD" w:themeColor="accent1"/>
      <w:sz w:val="24"/>
      <w:szCs w:val="26"/>
    </w:rPr>
  </w:style>
  <w:style w:type="character" w:styleId="Hyperlink">
    <w:name w:val="Hyperlink"/>
    <w:basedOn w:val="DefaultParagraphFont"/>
    <w:uiPriority w:val="99"/>
    <w:unhideWhenUsed/>
    <w:rsid w:val="005A74C6"/>
    <w:rPr>
      <w:color w:val="0000FF"/>
      <w:u w:val="single"/>
    </w:rPr>
  </w:style>
  <w:style w:type="paragraph" w:styleId="NormalWeb">
    <w:name w:val="Normal (Web)"/>
    <w:basedOn w:val="Normal"/>
    <w:uiPriority w:val="99"/>
    <w:semiHidden/>
    <w:unhideWhenUsed/>
    <w:rsid w:val="005A74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5A7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4C6"/>
    <w:rPr>
      <w:sz w:val="20"/>
      <w:szCs w:val="20"/>
    </w:rPr>
  </w:style>
  <w:style w:type="paragraph" w:styleId="ListParagraph">
    <w:name w:val="List Paragraph"/>
    <w:basedOn w:val="Normal"/>
    <w:uiPriority w:val="34"/>
    <w:qFormat/>
    <w:rsid w:val="005A74C6"/>
    <w:pPr>
      <w:ind w:left="720"/>
      <w:contextualSpacing/>
    </w:pPr>
  </w:style>
  <w:style w:type="paragraph" w:customStyle="1" w:styleId="subsection">
    <w:name w:val="subsection"/>
    <w:basedOn w:val="Normal"/>
    <w:uiPriority w:val="99"/>
    <w:semiHidden/>
    <w:rsid w:val="005A74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unhideWhenUsed/>
    <w:rsid w:val="005A74C6"/>
    <w:rPr>
      <w:vertAlign w:val="superscript"/>
    </w:rPr>
  </w:style>
  <w:style w:type="character" w:customStyle="1" w:styleId="apple-converted-space">
    <w:name w:val="apple-converted-space"/>
    <w:basedOn w:val="DefaultParagraphFont"/>
    <w:rsid w:val="005A74C6"/>
  </w:style>
  <w:style w:type="paragraph" w:customStyle="1" w:styleId="Default">
    <w:name w:val="Default"/>
    <w:uiPriority w:val="99"/>
    <w:rsid w:val="0019783E"/>
    <w:pPr>
      <w:autoSpaceDE w:val="0"/>
      <w:autoSpaceDN w:val="0"/>
      <w:adjustRightInd w:val="0"/>
      <w:spacing w:after="0" w:line="240" w:lineRule="auto"/>
    </w:pPr>
    <w:rPr>
      <w:rFonts w:ascii="Cambria" w:eastAsia="Times New Roman" w:hAnsi="Cambria" w:cs="Cambria"/>
      <w:color w:val="000000"/>
      <w:sz w:val="24"/>
      <w:szCs w:val="24"/>
      <w:lang w:eastAsia="en-AU"/>
    </w:rPr>
  </w:style>
  <w:style w:type="paragraph" w:styleId="Header">
    <w:name w:val="header"/>
    <w:basedOn w:val="Normal"/>
    <w:link w:val="HeaderChar"/>
    <w:uiPriority w:val="99"/>
    <w:unhideWhenUsed/>
    <w:rsid w:val="00722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57"/>
  </w:style>
  <w:style w:type="paragraph" w:styleId="Footer">
    <w:name w:val="footer"/>
    <w:basedOn w:val="Normal"/>
    <w:link w:val="FooterChar"/>
    <w:uiPriority w:val="99"/>
    <w:unhideWhenUsed/>
    <w:rsid w:val="00722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7152">
      <w:bodyDiv w:val="1"/>
      <w:marLeft w:val="0"/>
      <w:marRight w:val="0"/>
      <w:marTop w:val="0"/>
      <w:marBottom w:val="0"/>
      <w:divBdr>
        <w:top w:val="none" w:sz="0" w:space="0" w:color="auto"/>
        <w:left w:val="none" w:sz="0" w:space="0" w:color="auto"/>
        <w:bottom w:val="none" w:sz="0" w:space="0" w:color="auto"/>
        <w:right w:val="none" w:sz="0" w:space="0" w:color="auto"/>
      </w:divBdr>
    </w:div>
    <w:div w:id="247662103">
      <w:bodyDiv w:val="1"/>
      <w:marLeft w:val="0"/>
      <w:marRight w:val="0"/>
      <w:marTop w:val="0"/>
      <w:marBottom w:val="0"/>
      <w:divBdr>
        <w:top w:val="none" w:sz="0" w:space="0" w:color="auto"/>
        <w:left w:val="none" w:sz="0" w:space="0" w:color="auto"/>
        <w:bottom w:val="none" w:sz="0" w:space="0" w:color="auto"/>
        <w:right w:val="none" w:sz="0" w:space="0" w:color="auto"/>
      </w:divBdr>
    </w:div>
    <w:div w:id="332807371">
      <w:bodyDiv w:val="1"/>
      <w:marLeft w:val="0"/>
      <w:marRight w:val="0"/>
      <w:marTop w:val="0"/>
      <w:marBottom w:val="0"/>
      <w:divBdr>
        <w:top w:val="none" w:sz="0" w:space="0" w:color="auto"/>
        <w:left w:val="none" w:sz="0" w:space="0" w:color="auto"/>
        <w:bottom w:val="none" w:sz="0" w:space="0" w:color="auto"/>
        <w:right w:val="none" w:sz="0" w:space="0" w:color="auto"/>
      </w:divBdr>
    </w:div>
    <w:div w:id="945505066">
      <w:bodyDiv w:val="1"/>
      <w:marLeft w:val="0"/>
      <w:marRight w:val="0"/>
      <w:marTop w:val="0"/>
      <w:marBottom w:val="0"/>
      <w:divBdr>
        <w:top w:val="none" w:sz="0" w:space="0" w:color="auto"/>
        <w:left w:val="none" w:sz="0" w:space="0" w:color="auto"/>
        <w:bottom w:val="none" w:sz="0" w:space="0" w:color="auto"/>
        <w:right w:val="none" w:sz="0" w:space="0" w:color="auto"/>
      </w:divBdr>
    </w:div>
    <w:div w:id="1119370480">
      <w:bodyDiv w:val="1"/>
      <w:marLeft w:val="0"/>
      <w:marRight w:val="0"/>
      <w:marTop w:val="0"/>
      <w:marBottom w:val="0"/>
      <w:divBdr>
        <w:top w:val="none" w:sz="0" w:space="0" w:color="auto"/>
        <w:left w:val="none" w:sz="0" w:space="0" w:color="auto"/>
        <w:bottom w:val="none" w:sz="0" w:space="0" w:color="auto"/>
        <w:right w:val="none" w:sz="0" w:space="0" w:color="auto"/>
      </w:divBdr>
    </w:div>
    <w:div w:id="1732922205">
      <w:bodyDiv w:val="1"/>
      <w:marLeft w:val="0"/>
      <w:marRight w:val="0"/>
      <w:marTop w:val="0"/>
      <w:marBottom w:val="0"/>
      <w:divBdr>
        <w:top w:val="none" w:sz="0" w:space="0" w:color="auto"/>
        <w:left w:val="none" w:sz="0" w:space="0" w:color="auto"/>
        <w:bottom w:val="none" w:sz="0" w:space="0" w:color="auto"/>
        <w:right w:val="none" w:sz="0" w:space="0" w:color="auto"/>
      </w:divBdr>
      <w:divsChild>
        <w:div w:id="1980457628">
          <w:marLeft w:val="600"/>
          <w:marRight w:val="0"/>
          <w:marTop w:val="0"/>
          <w:marBottom w:val="0"/>
          <w:divBdr>
            <w:top w:val="none" w:sz="0" w:space="0" w:color="auto"/>
            <w:left w:val="none" w:sz="0" w:space="0" w:color="auto"/>
            <w:bottom w:val="none" w:sz="0" w:space="0" w:color="auto"/>
            <w:right w:val="none" w:sz="0" w:space="0" w:color="auto"/>
          </w:divBdr>
        </w:div>
        <w:div w:id="728891938">
          <w:marLeft w:val="600"/>
          <w:marRight w:val="0"/>
          <w:marTop w:val="0"/>
          <w:marBottom w:val="0"/>
          <w:divBdr>
            <w:top w:val="none" w:sz="0" w:space="0" w:color="auto"/>
            <w:left w:val="none" w:sz="0" w:space="0" w:color="auto"/>
            <w:bottom w:val="none" w:sz="0" w:space="0" w:color="auto"/>
            <w:right w:val="none" w:sz="0" w:space="0" w:color="auto"/>
          </w:divBdr>
        </w:div>
        <w:div w:id="1239094816">
          <w:marLeft w:val="600"/>
          <w:marRight w:val="0"/>
          <w:marTop w:val="0"/>
          <w:marBottom w:val="0"/>
          <w:divBdr>
            <w:top w:val="none" w:sz="0" w:space="0" w:color="auto"/>
            <w:left w:val="none" w:sz="0" w:space="0" w:color="auto"/>
            <w:bottom w:val="none" w:sz="0" w:space="0" w:color="auto"/>
            <w:right w:val="none" w:sz="0" w:space="0" w:color="auto"/>
          </w:divBdr>
        </w:div>
        <w:div w:id="1224021426">
          <w:marLeft w:val="600"/>
          <w:marRight w:val="0"/>
          <w:marTop w:val="0"/>
          <w:marBottom w:val="0"/>
          <w:divBdr>
            <w:top w:val="none" w:sz="0" w:space="0" w:color="auto"/>
            <w:left w:val="none" w:sz="0" w:space="0" w:color="auto"/>
            <w:bottom w:val="none" w:sz="0" w:space="0" w:color="auto"/>
            <w:right w:val="none" w:sz="0" w:space="0" w:color="auto"/>
          </w:divBdr>
        </w:div>
        <w:div w:id="1857844463">
          <w:marLeft w:val="600"/>
          <w:marRight w:val="0"/>
          <w:marTop w:val="0"/>
          <w:marBottom w:val="0"/>
          <w:divBdr>
            <w:top w:val="none" w:sz="0" w:space="0" w:color="auto"/>
            <w:left w:val="none" w:sz="0" w:space="0" w:color="auto"/>
            <w:bottom w:val="none" w:sz="0" w:space="0" w:color="auto"/>
            <w:right w:val="none" w:sz="0" w:space="0" w:color="auto"/>
          </w:divBdr>
        </w:div>
        <w:div w:id="413237062">
          <w:marLeft w:val="600"/>
          <w:marRight w:val="0"/>
          <w:marTop w:val="0"/>
          <w:marBottom w:val="0"/>
          <w:divBdr>
            <w:top w:val="none" w:sz="0" w:space="0" w:color="auto"/>
            <w:left w:val="none" w:sz="0" w:space="0" w:color="auto"/>
            <w:bottom w:val="none" w:sz="0" w:space="0" w:color="auto"/>
            <w:right w:val="none" w:sz="0" w:space="0" w:color="auto"/>
          </w:divBdr>
        </w:div>
        <w:div w:id="1403068752">
          <w:marLeft w:val="600"/>
          <w:marRight w:val="0"/>
          <w:marTop w:val="0"/>
          <w:marBottom w:val="0"/>
          <w:divBdr>
            <w:top w:val="none" w:sz="0" w:space="0" w:color="auto"/>
            <w:left w:val="none" w:sz="0" w:space="0" w:color="auto"/>
            <w:bottom w:val="none" w:sz="0" w:space="0" w:color="auto"/>
            <w:right w:val="none" w:sz="0" w:space="0" w:color="auto"/>
          </w:divBdr>
        </w:div>
        <w:div w:id="2057972778">
          <w:marLeft w:val="600"/>
          <w:marRight w:val="0"/>
          <w:marTop w:val="0"/>
          <w:marBottom w:val="0"/>
          <w:divBdr>
            <w:top w:val="none" w:sz="0" w:space="0" w:color="auto"/>
            <w:left w:val="none" w:sz="0" w:space="0" w:color="auto"/>
            <w:bottom w:val="none" w:sz="0" w:space="0" w:color="auto"/>
            <w:right w:val="none" w:sz="0" w:space="0" w:color="auto"/>
          </w:divBdr>
        </w:div>
        <w:div w:id="1380201468">
          <w:marLeft w:val="600"/>
          <w:marRight w:val="0"/>
          <w:marTop w:val="0"/>
          <w:marBottom w:val="0"/>
          <w:divBdr>
            <w:top w:val="none" w:sz="0" w:space="0" w:color="auto"/>
            <w:left w:val="none" w:sz="0" w:space="0" w:color="auto"/>
            <w:bottom w:val="none" w:sz="0" w:space="0" w:color="auto"/>
            <w:right w:val="none" w:sz="0" w:space="0" w:color="auto"/>
          </w:divBdr>
        </w:div>
        <w:div w:id="1650162396">
          <w:marLeft w:val="600"/>
          <w:marRight w:val="0"/>
          <w:marTop w:val="0"/>
          <w:marBottom w:val="0"/>
          <w:divBdr>
            <w:top w:val="none" w:sz="0" w:space="0" w:color="auto"/>
            <w:left w:val="none" w:sz="0" w:space="0" w:color="auto"/>
            <w:bottom w:val="none" w:sz="0" w:space="0" w:color="auto"/>
            <w:right w:val="none" w:sz="0" w:space="0" w:color="auto"/>
          </w:divBdr>
        </w:div>
        <w:div w:id="1935632101">
          <w:marLeft w:val="600"/>
          <w:marRight w:val="0"/>
          <w:marTop w:val="0"/>
          <w:marBottom w:val="0"/>
          <w:divBdr>
            <w:top w:val="none" w:sz="0" w:space="0" w:color="auto"/>
            <w:left w:val="none" w:sz="0" w:space="0" w:color="auto"/>
            <w:bottom w:val="none" w:sz="0" w:space="0" w:color="auto"/>
            <w:right w:val="none" w:sz="0" w:space="0" w:color="auto"/>
          </w:divBdr>
        </w:div>
        <w:div w:id="1947928969">
          <w:marLeft w:val="600"/>
          <w:marRight w:val="0"/>
          <w:marTop w:val="0"/>
          <w:marBottom w:val="0"/>
          <w:divBdr>
            <w:top w:val="none" w:sz="0" w:space="0" w:color="auto"/>
            <w:left w:val="none" w:sz="0" w:space="0" w:color="auto"/>
            <w:bottom w:val="none" w:sz="0" w:space="0" w:color="auto"/>
            <w:right w:val="none" w:sz="0" w:space="0" w:color="auto"/>
          </w:divBdr>
        </w:div>
        <w:div w:id="1633441911">
          <w:marLeft w:val="600"/>
          <w:marRight w:val="0"/>
          <w:marTop w:val="0"/>
          <w:marBottom w:val="0"/>
          <w:divBdr>
            <w:top w:val="none" w:sz="0" w:space="0" w:color="auto"/>
            <w:left w:val="none" w:sz="0" w:space="0" w:color="auto"/>
            <w:bottom w:val="none" w:sz="0" w:space="0" w:color="auto"/>
            <w:right w:val="none" w:sz="0" w:space="0" w:color="auto"/>
          </w:divBdr>
        </w:div>
        <w:div w:id="1868523570">
          <w:marLeft w:val="600"/>
          <w:marRight w:val="0"/>
          <w:marTop w:val="0"/>
          <w:marBottom w:val="0"/>
          <w:divBdr>
            <w:top w:val="none" w:sz="0" w:space="0" w:color="auto"/>
            <w:left w:val="none" w:sz="0" w:space="0" w:color="auto"/>
            <w:bottom w:val="none" w:sz="0" w:space="0" w:color="auto"/>
            <w:right w:val="none" w:sz="0" w:space="0" w:color="auto"/>
          </w:divBdr>
        </w:div>
      </w:divsChild>
    </w:div>
    <w:div w:id="1759864410">
      <w:bodyDiv w:val="1"/>
      <w:marLeft w:val="0"/>
      <w:marRight w:val="0"/>
      <w:marTop w:val="0"/>
      <w:marBottom w:val="0"/>
      <w:divBdr>
        <w:top w:val="none" w:sz="0" w:space="0" w:color="auto"/>
        <w:left w:val="none" w:sz="0" w:space="0" w:color="auto"/>
        <w:bottom w:val="none" w:sz="0" w:space="0" w:color="auto"/>
        <w:right w:val="none" w:sz="0" w:space="0" w:color="auto"/>
      </w:divBdr>
      <w:divsChild>
        <w:div w:id="968246252">
          <w:marLeft w:val="600"/>
          <w:marRight w:val="0"/>
          <w:marTop w:val="0"/>
          <w:marBottom w:val="0"/>
          <w:divBdr>
            <w:top w:val="none" w:sz="0" w:space="0" w:color="auto"/>
            <w:left w:val="none" w:sz="0" w:space="0" w:color="auto"/>
            <w:bottom w:val="none" w:sz="0" w:space="0" w:color="auto"/>
            <w:right w:val="none" w:sz="0" w:space="0" w:color="auto"/>
          </w:divBdr>
        </w:div>
        <w:div w:id="1415513277">
          <w:marLeft w:val="600"/>
          <w:marRight w:val="0"/>
          <w:marTop w:val="0"/>
          <w:marBottom w:val="0"/>
          <w:divBdr>
            <w:top w:val="none" w:sz="0" w:space="0" w:color="auto"/>
            <w:left w:val="none" w:sz="0" w:space="0" w:color="auto"/>
            <w:bottom w:val="none" w:sz="0" w:space="0" w:color="auto"/>
            <w:right w:val="none" w:sz="0" w:space="0" w:color="auto"/>
          </w:divBdr>
        </w:div>
        <w:div w:id="1199662121">
          <w:marLeft w:val="600"/>
          <w:marRight w:val="0"/>
          <w:marTop w:val="0"/>
          <w:marBottom w:val="0"/>
          <w:divBdr>
            <w:top w:val="none" w:sz="0" w:space="0" w:color="auto"/>
            <w:left w:val="none" w:sz="0" w:space="0" w:color="auto"/>
            <w:bottom w:val="none" w:sz="0" w:space="0" w:color="auto"/>
            <w:right w:val="none" w:sz="0" w:space="0" w:color="auto"/>
          </w:divBdr>
        </w:div>
        <w:div w:id="389153995">
          <w:marLeft w:val="600"/>
          <w:marRight w:val="0"/>
          <w:marTop w:val="0"/>
          <w:marBottom w:val="0"/>
          <w:divBdr>
            <w:top w:val="none" w:sz="0" w:space="0" w:color="auto"/>
            <w:left w:val="none" w:sz="0" w:space="0" w:color="auto"/>
            <w:bottom w:val="none" w:sz="0" w:space="0" w:color="auto"/>
            <w:right w:val="none" w:sz="0" w:space="0" w:color="auto"/>
          </w:divBdr>
        </w:div>
        <w:div w:id="1554271805">
          <w:marLeft w:val="600"/>
          <w:marRight w:val="0"/>
          <w:marTop w:val="0"/>
          <w:marBottom w:val="0"/>
          <w:divBdr>
            <w:top w:val="none" w:sz="0" w:space="0" w:color="auto"/>
            <w:left w:val="none" w:sz="0" w:space="0" w:color="auto"/>
            <w:bottom w:val="none" w:sz="0" w:space="0" w:color="auto"/>
            <w:right w:val="none" w:sz="0" w:space="0" w:color="auto"/>
          </w:divBdr>
        </w:div>
        <w:div w:id="420030865">
          <w:marLeft w:val="600"/>
          <w:marRight w:val="0"/>
          <w:marTop w:val="0"/>
          <w:marBottom w:val="0"/>
          <w:divBdr>
            <w:top w:val="none" w:sz="0" w:space="0" w:color="auto"/>
            <w:left w:val="none" w:sz="0" w:space="0" w:color="auto"/>
            <w:bottom w:val="none" w:sz="0" w:space="0" w:color="auto"/>
            <w:right w:val="none" w:sz="0" w:space="0" w:color="auto"/>
          </w:divBdr>
        </w:div>
        <w:div w:id="1170367962">
          <w:marLeft w:val="600"/>
          <w:marRight w:val="0"/>
          <w:marTop w:val="0"/>
          <w:marBottom w:val="0"/>
          <w:divBdr>
            <w:top w:val="none" w:sz="0" w:space="0" w:color="auto"/>
            <w:left w:val="none" w:sz="0" w:space="0" w:color="auto"/>
            <w:bottom w:val="none" w:sz="0" w:space="0" w:color="auto"/>
            <w:right w:val="none" w:sz="0" w:space="0" w:color="auto"/>
          </w:divBdr>
        </w:div>
        <w:div w:id="19088168">
          <w:marLeft w:val="600"/>
          <w:marRight w:val="0"/>
          <w:marTop w:val="0"/>
          <w:marBottom w:val="0"/>
          <w:divBdr>
            <w:top w:val="none" w:sz="0" w:space="0" w:color="auto"/>
            <w:left w:val="none" w:sz="0" w:space="0" w:color="auto"/>
            <w:bottom w:val="none" w:sz="0" w:space="0" w:color="auto"/>
            <w:right w:val="none" w:sz="0" w:space="0" w:color="auto"/>
          </w:divBdr>
        </w:div>
        <w:div w:id="2024017727">
          <w:marLeft w:val="600"/>
          <w:marRight w:val="0"/>
          <w:marTop w:val="0"/>
          <w:marBottom w:val="0"/>
          <w:divBdr>
            <w:top w:val="none" w:sz="0" w:space="0" w:color="auto"/>
            <w:left w:val="none" w:sz="0" w:space="0" w:color="auto"/>
            <w:bottom w:val="none" w:sz="0" w:space="0" w:color="auto"/>
            <w:right w:val="none" w:sz="0" w:space="0" w:color="auto"/>
          </w:divBdr>
        </w:div>
        <w:div w:id="1992639916">
          <w:marLeft w:val="600"/>
          <w:marRight w:val="0"/>
          <w:marTop w:val="0"/>
          <w:marBottom w:val="0"/>
          <w:divBdr>
            <w:top w:val="none" w:sz="0" w:space="0" w:color="auto"/>
            <w:left w:val="none" w:sz="0" w:space="0" w:color="auto"/>
            <w:bottom w:val="none" w:sz="0" w:space="0" w:color="auto"/>
            <w:right w:val="none" w:sz="0" w:space="0" w:color="auto"/>
          </w:divBdr>
        </w:div>
        <w:div w:id="1742825590">
          <w:marLeft w:val="600"/>
          <w:marRight w:val="0"/>
          <w:marTop w:val="0"/>
          <w:marBottom w:val="0"/>
          <w:divBdr>
            <w:top w:val="none" w:sz="0" w:space="0" w:color="auto"/>
            <w:left w:val="none" w:sz="0" w:space="0" w:color="auto"/>
            <w:bottom w:val="none" w:sz="0" w:space="0" w:color="auto"/>
            <w:right w:val="none" w:sz="0" w:space="0" w:color="auto"/>
          </w:divBdr>
        </w:div>
        <w:div w:id="434600034">
          <w:marLeft w:val="600"/>
          <w:marRight w:val="0"/>
          <w:marTop w:val="0"/>
          <w:marBottom w:val="0"/>
          <w:divBdr>
            <w:top w:val="none" w:sz="0" w:space="0" w:color="auto"/>
            <w:left w:val="none" w:sz="0" w:space="0" w:color="auto"/>
            <w:bottom w:val="none" w:sz="0" w:space="0" w:color="auto"/>
            <w:right w:val="none" w:sz="0" w:space="0" w:color="auto"/>
          </w:divBdr>
        </w:div>
        <w:div w:id="1989819468">
          <w:marLeft w:val="600"/>
          <w:marRight w:val="0"/>
          <w:marTop w:val="0"/>
          <w:marBottom w:val="0"/>
          <w:divBdr>
            <w:top w:val="none" w:sz="0" w:space="0" w:color="auto"/>
            <w:left w:val="none" w:sz="0" w:space="0" w:color="auto"/>
            <w:bottom w:val="none" w:sz="0" w:space="0" w:color="auto"/>
            <w:right w:val="none" w:sz="0" w:space="0" w:color="auto"/>
          </w:divBdr>
        </w:div>
        <w:div w:id="1462992857">
          <w:marLeft w:val="600"/>
          <w:marRight w:val="0"/>
          <w:marTop w:val="0"/>
          <w:marBottom w:val="0"/>
          <w:divBdr>
            <w:top w:val="none" w:sz="0" w:space="0" w:color="auto"/>
            <w:left w:val="none" w:sz="0" w:space="0" w:color="auto"/>
            <w:bottom w:val="none" w:sz="0" w:space="0" w:color="auto"/>
            <w:right w:val="none" w:sz="0" w:space="0" w:color="auto"/>
          </w:divBdr>
        </w:div>
      </w:divsChild>
    </w:div>
    <w:div w:id="2075349912">
      <w:bodyDiv w:val="1"/>
      <w:marLeft w:val="0"/>
      <w:marRight w:val="0"/>
      <w:marTop w:val="0"/>
      <w:marBottom w:val="0"/>
      <w:divBdr>
        <w:top w:val="none" w:sz="0" w:space="0" w:color="auto"/>
        <w:left w:val="none" w:sz="0" w:space="0" w:color="auto"/>
        <w:bottom w:val="none" w:sz="0" w:space="0" w:color="auto"/>
        <w:right w:val="none" w:sz="0" w:space="0" w:color="auto"/>
      </w:divBdr>
    </w:div>
    <w:div w:id="21100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45B0-B59C-4505-AE4E-FF288C10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coxwright</cp:lastModifiedBy>
  <cp:revision>17</cp:revision>
  <dcterms:created xsi:type="dcterms:W3CDTF">2016-05-07T06:32:00Z</dcterms:created>
  <dcterms:modified xsi:type="dcterms:W3CDTF">2016-05-22T08:57:00Z</dcterms:modified>
</cp:coreProperties>
</file>